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7670" w14:textId="77777777" w:rsidR="000C17C8" w:rsidRPr="000C17C8" w:rsidRDefault="000C17C8" w:rsidP="000C17C8">
      <w:r w:rsidRPr="000C17C8">
        <w:t xml:space="preserve">Dear </w:t>
      </w:r>
      <w:r w:rsidRPr="000C17C8">
        <w:rPr>
          <w:b/>
          <w:bCs/>
        </w:rPr>
        <w:t>[MP name],</w:t>
      </w:r>
      <w:r w:rsidRPr="000C17C8">
        <w:t> </w:t>
      </w:r>
    </w:p>
    <w:p w14:paraId="22F76627" w14:textId="0BF4B51A" w:rsidR="000C17C8" w:rsidRPr="000C17C8" w:rsidRDefault="000C17C8" w:rsidP="000C17C8">
      <w:r w:rsidRPr="000C17C8">
        <w:t xml:space="preserve">I am writing to you as a homecare provider in </w:t>
      </w:r>
      <w:r w:rsidRPr="000C17C8">
        <w:rPr>
          <w:b/>
          <w:bCs/>
          <w:i/>
          <w:iCs/>
        </w:rPr>
        <w:t>[constituency name]</w:t>
      </w:r>
      <w:r w:rsidRPr="000C17C8">
        <w:rPr>
          <w:i/>
          <w:iCs/>
        </w:rPr>
        <w:t xml:space="preserve"> </w:t>
      </w:r>
      <w:r w:rsidRPr="000C17C8">
        <w:t xml:space="preserve">to bring your attention to </w:t>
      </w:r>
      <w:hyperlink r:id="rId5" w:history="1">
        <w:r w:rsidRPr="00D91255">
          <w:rPr>
            <w:rStyle w:val="Hyperlink"/>
            <w:b/>
            <w:bCs/>
            <w:i/>
            <w:iCs/>
          </w:rPr>
          <w:t>The Homecare Deficit 2025</w:t>
        </w:r>
        <w:r w:rsidRPr="00D91255">
          <w:rPr>
            <w:rStyle w:val="Hyperlink"/>
          </w:rPr>
          <w:t>,</w:t>
        </w:r>
      </w:hyperlink>
      <w:r w:rsidRPr="000C17C8">
        <w:t xml:space="preserve"> published</w:t>
      </w:r>
      <w:r w:rsidRPr="000C17C8">
        <w:rPr>
          <w:i/>
          <w:iCs/>
        </w:rPr>
        <w:t xml:space="preserve"> </w:t>
      </w:r>
      <w:r w:rsidRPr="000C17C8">
        <w:t>by the Homecare Association. </w:t>
      </w:r>
    </w:p>
    <w:p w14:paraId="0816BA3E" w14:textId="77777777" w:rsidR="000C17C8" w:rsidRPr="000C17C8" w:rsidRDefault="000C17C8" w:rsidP="000C17C8">
      <w:r w:rsidRPr="000C17C8">
        <w:t>The report, based on Freedom of Information responses from 276 public bodies across the UK, shows fees paid to independent and voluntary sector providers to deliver homecare services are inadequate and unsustainable. </w:t>
      </w:r>
    </w:p>
    <w:p w14:paraId="6AF3885B" w14:textId="77777777" w:rsidR="000C17C8" w:rsidRPr="000C17C8" w:rsidRDefault="000C17C8" w:rsidP="000C17C8">
      <w:r w:rsidRPr="000C17C8">
        <w:rPr>
          <w:b/>
          <w:bCs/>
        </w:rPr>
        <w:t>The scale of underfunding</w:t>
      </w:r>
      <w:r w:rsidRPr="000C17C8">
        <w:t> </w:t>
      </w:r>
    </w:p>
    <w:p w14:paraId="1BC2EEDE" w14:textId="77777777" w:rsidR="000C17C8" w:rsidRPr="000C17C8" w:rsidRDefault="000C17C8" w:rsidP="000C17C8">
      <w:r w:rsidRPr="000C17C8">
        <w:t xml:space="preserve">The report finds that the UK faces a </w:t>
      </w:r>
      <w:r w:rsidRPr="000C17C8">
        <w:rPr>
          <w:b/>
          <w:bCs/>
        </w:rPr>
        <w:t>£3.25 billion annual shortfall</w:t>
      </w:r>
      <w:r w:rsidRPr="000C17C8">
        <w:t xml:space="preserve"> to pay careworkers a fair wage equivalent to comparable NHS roles and support providers to deliver sustainable services.  </w:t>
      </w:r>
    </w:p>
    <w:p w14:paraId="20526C07" w14:textId="77777777" w:rsidR="000C17C8" w:rsidRPr="00D91255" w:rsidRDefault="000C17C8" w:rsidP="000C17C8">
      <w:pPr>
        <w:rPr>
          <w:b/>
          <w:bCs/>
          <w:i/>
          <w:iCs/>
        </w:rPr>
      </w:pPr>
      <w:r w:rsidRPr="00D91255">
        <w:rPr>
          <w:b/>
          <w:bCs/>
          <w:i/>
          <w:iCs/>
        </w:rPr>
        <w:t>[For England alone, this amounts to £2.64 billion per year.] </w:t>
      </w:r>
    </w:p>
    <w:p w14:paraId="150716EC" w14:textId="77777777" w:rsidR="000C17C8" w:rsidRPr="00D91255" w:rsidRDefault="000C17C8" w:rsidP="000C17C8">
      <w:pPr>
        <w:rPr>
          <w:b/>
          <w:bCs/>
          <w:i/>
          <w:iCs/>
        </w:rPr>
      </w:pPr>
      <w:r w:rsidRPr="00D91255">
        <w:rPr>
          <w:b/>
          <w:bCs/>
          <w:i/>
          <w:iCs/>
        </w:rPr>
        <w:t>[For Scotland alone, this amounts to £320 million per year]. </w:t>
      </w:r>
    </w:p>
    <w:p w14:paraId="4C070F0F" w14:textId="77777777" w:rsidR="000C17C8" w:rsidRPr="00D91255" w:rsidRDefault="000C17C8" w:rsidP="000C17C8">
      <w:pPr>
        <w:rPr>
          <w:b/>
          <w:bCs/>
          <w:i/>
          <w:iCs/>
        </w:rPr>
      </w:pPr>
      <w:r w:rsidRPr="00D91255">
        <w:rPr>
          <w:b/>
          <w:bCs/>
          <w:i/>
          <w:iCs/>
        </w:rPr>
        <w:t>[For Wales alone, this amounts to £135 million per year]. </w:t>
      </w:r>
    </w:p>
    <w:p w14:paraId="45D99C8C" w14:textId="77777777" w:rsidR="000C17C8" w:rsidRPr="00D91255" w:rsidRDefault="000C17C8" w:rsidP="000C17C8">
      <w:pPr>
        <w:rPr>
          <w:b/>
          <w:bCs/>
          <w:i/>
          <w:iCs/>
        </w:rPr>
      </w:pPr>
      <w:r w:rsidRPr="00D91255">
        <w:rPr>
          <w:b/>
          <w:bCs/>
          <w:i/>
          <w:iCs/>
        </w:rPr>
        <w:t>[For Northern Ireland alone, this amounts to £155 million per year].  </w:t>
      </w:r>
    </w:p>
    <w:p w14:paraId="4857887E" w14:textId="77777777" w:rsidR="000C17C8" w:rsidRPr="000C17C8" w:rsidRDefault="000C17C8" w:rsidP="000C17C8">
      <w:r w:rsidRPr="000C17C8">
        <w:t xml:space="preserve">Alarmingly, </w:t>
      </w:r>
      <w:r w:rsidRPr="000C17C8">
        <w:rPr>
          <w:b/>
          <w:bCs/>
        </w:rPr>
        <w:t>29% of councils and Health and Social Care Trusts</w:t>
      </w:r>
      <w:r w:rsidRPr="000C17C8">
        <w:t xml:space="preserve"> now pay average hourly rates that fail even to cover the direct employment costs of careworkers at the National Living Wage of £12.21 per hour. </w:t>
      </w:r>
      <w:r w:rsidRPr="000C17C8">
        <w:rPr>
          <w:b/>
          <w:bCs/>
        </w:rPr>
        <w:t>Only one public organisation in the entire UK</w:t>
      </w:r>
      <w:r w:rsidRPr="000C17C8">
        <w:t xml:space="preserve"> pays at or above the </w:t>
      </w:r>
      <w:hyperlink r:id="rId6" w:tgtFrame="_blank" w:history="1">
        <w:r w:rsidRPr="000C17C8">
          <w:rPr>
            <w:rStyle w:val="Hyperlink"/>
          </w:rPr>
          <w:t>Homecare Association's Minimum Price for Homecare</w:t>
        </w:r>
      </w:hyperlink>
      <w:r w:rsidRPr="000C17C8">
        <w:t>. </w:t>
      </w:r>
    </w:p>
    <w:p w14:paraId="611C173F" w14:textId="77777777" w:rsidR="000C17C8" w:rsidRPr="000C17C8" w:rsidRDefault="000C17C8" w:rsidP="000C17C8">
      <w:r w:rsidRPr="000C17C8">
        <w:rPr>
          <w:b/>
          <w:bCs/>
        </w:rPr>
        <w:t>The impact on our service</w:t>
      </w:r>
      <w:r w:rsidRPr="000C17C8">
        <w:t> </w:t>
      </w:r>
    </w:p>
    <w:p w14:paraId="0DB4C50D" w14:textId="77777777" w:rsidR="000C17C8" w:rsidRPr="000C17C8" w:rsidRDefault="000C17C8" w:rsidP="000C17C8">
      <w:pPr>
        <w:rPr>
          <w:i/>
          <w:iCs/>
        </w:rPr>
      </w:pPr>
      <w:r w:rsidRPr="000C17C8">
        <w:rPr>
          <w:b/>
          <w:bCs/>
          <w:i/>
          <w:iCs/>
        </w:rPr>
        <w:t xml:space="preserve">[This is space for you to share your experience </w:t>
      </w:r>
      <w:proofErr w:type="spellStart"/>
      <w:r w:rsidRPr="000C17C8">
        <w:rPr>
          <w:b/>
          <w:bCs/>
          <w:i/>
          <w:iCs/>
        </w:rPr>
        <w:t>eg</w:t>
      </w:r>
      <w:proofErr w:type="spellEnd"/>
      <w:r w:rsidRPr="000C17C8">
        <w:rPr>
          <w:b/>
          <w:bCs/>
          <w:i/>
          <w:iCs/>
        </w:rPr>
        <w:t>: recruitment challenges, staff leaving for retail jobs, waiting lists, financial pressures, etc.]</w:t>
      </w:r>
      <w:r w:rsidRPr="000C17C8">
        <w:rPr>
          <w:i/>
          <w:iCs/>
        </w:rPr>
        <w:t> </w:t>
      </w:r>
    </w:p>
    <w:p w14:paraId="6AF82C2F" w14:textId="77777777" w:rsidR="000C17C8" w:rsidRPr="000C17C8" w:rsidRDefault="000C17C8" w:rsidP="000C17C8">
      <w:r w:rsidRPr="000C17C8">
        <w:rPr>
          <w:b/>
          <w:bCs/>
        </w:rPr>
        <w:t>What needs to happen</w:t>
      </w:r>
      <w:r w:rsidRPr="000C17C8">
        <w:t> </w:t>
      </w:r>
    </w:p>
    <w:p w14:paraId="4DC3E436" w14:textId="77777777" w:rsidR="000C17C8" w:rsidRPr="000C17C8" w:rsidRDefault="000C17C8" w:rsidP="000C17C8">
      <w:r w:rsidRPr="000C17C8">
        <w:t>The Homecare Association calls for urgent action on three fronts: </w:t>
      </w:r>
    </w:p>
    <w:p w14:paraId="6F16BD10" w14:textId="77777777" w:rsidR="000C17C8" w:rsidRPr="000C17C8" w:rsidRDefault="000C17C8" w:rsidP="000C17C8">
      <w:r w:rsidRPr="000C17C8">
        <w:rPr>
          <w:b/>
          <w:bCs/>
        </w:rPr>
        <w:t>1. Funding and financial sustainability</w:t>
      </w:r>
      <w:r w:rsidRPr="000C17C8">
        <w:t> </w:t>
      </w:r>
    </w:p>
    <w:p w14:paraId="565FF9A9" w14:textId="77777777" w:rsidR="000C17C8" w:rsidRPr="000C17C8" w:rsidRDefault="000C17C8" w:rsidP="000C17C8">
      <w:pPr>
        <w:numPr>
          <w:ilvl w:val="0"/>
          <w:numId w:val="1"/>
        </w:numPr>
      </w:pPr>
      <w:r w:rsidRPr="000C17C8">
        <w:t xml:space="preserve">Stabilise homecare budgets by ring-fencing social-care funding and investing at least </w:t>
      </w:r>
      <w:r w:rsidRPr="000C17C8">
        <w:rPr>
          <w:b/>
          <w:bCs/>
        </w:rPr>
        <w:t>£3.25 billion</w:t>
      </w:r>
      <w:r w:rsidRPr="000C17C8">
        <w:t xml:space="preserve"> across the UK.   </w:t>
      </w:r>
    </w:p>
    <w:p w14:paraId="3AF9A322" w14:textId="77777777" w:rsidR="000C17C8" w:rsidRPr="000C17C8" w:rsidRDefault="000C17C8" w:rsidP="000C17C8">
      <w:pPr>
        <w:numPr>
          <w:ilvl w:val="0"/>
          <w:numId w:val="2"/>
        </w:numPr>
      </w:pPr>
      <w:r w:rsidRPr="000C17C8">
        <w:t>Require councils and NHS bodies to confirm fee rates annually by February so providers can plan employment and training. </w:t>
      </w:r>
    </w:p>
    <w:p w14:paraId="15F427EB" w14:textId="77777777" w:rsidR="000C17C8" w:rsidRPr="000C17C8" w:rsidRDefault="000C17C8" w:rsidP="000C17C8">
      <w:pPr>
        <w:numPr>
          <w:ilvl w:val="0"/>
          <w:numId w:val="3"/>
        </w:numPr>
      </w:pPr>
      <w:r w:rsidRPr="000C17C8">
        <w:t>Ensure fair pay parity with NHS Band 3 roles and allocate funds for statutory sick pay and delegated healthcare tasks. </w:t>
      </w:r>
    </w:p>
    <w:p w14:paraId="52AC30AC" w14:textId="77777777" w:rsidR="000C17C8" w:rsidRPr="000C17C8" w:rsidRDefault="000C17C8" w:rsidP="000C17C8">
      <w:r w:rsidRPr="000C17C8">
        <w:rPr>
          <w:b/>
          <w:bCs/>
        </w:rPr>
        <w:t>2. Legislative and regulatory reform</w:t>
      </w:r>
      <w:r w:rsidRPr="000C17C8">
        <w:t> </w:t>
      </w:r>
    </w:p>
    <w:p w14:paraId="32D40935" w14:textId="77777777" w:rsidR="000C17C8" w:rsidRPr="000C17C8" w:rsidRDefault="000C17C8" w:rsidP="000C17C8">
      <w:pPr>
        <w:numPr>
          <w:ilvl w:val="0"/>
          <w:numId w:val="4"/>
        </w:numPr>
      </w:pPr>
      <w:r w:rsidRPr="000C17C8">
        <w:lastRenderedPageBreak/>
        <w:t>Legislate for a National Contract for Care, requiring commissioners to pay cost-reflective rates based on an agreed national methodology. </w:t>
      </w:r>
    </w:p>
    <w:p w14:paraId="0B71FE1D" w14:textId="77777777" w:rsidR="000C17C8" w:rsidRPr="000C17C8" w:rsidRDefault="000C17C8" w:rsidP="000C17C8">
      <w:pPr>
        <w:numPr>
          <w:ilvl w:val="0"/>
          <w:numId w:val="5"/>
        </w:numPr>
      </w:pPr>
      <w:r w:rsidRPr="000C17C8">
        <w:t>Develop a statutory workforce plan to secure sufficient trained careworkers. </w:t>
      </w:r>
    </w:p>
    <w:p w14:paraId="2F2E596E" w14:textId="77777777" w:rsidR="000C17C8" w:rsidRPr="000C17C8" w:rsidRDefault="000C17C8" w:rsidP="000C17C8">
      <w:pPr>
        <w:numPr>
          <w:ilvl w:val="0"/>
          <w:numId w:val="6"/>
        </w:numPr>
      </w:pPr>
      <w:r w:rsidRPr="000C17C8">
        <w:t>Issue guidance to prevent inappropriate commissioning of unregulated or unsafe care. </w:t>
      </w:r>
    </w:p>
    <w:p w14:paraId="2029A1F6" w14:textId="77777777" w:rsidR="000C17C8" w:rsidRPr="000C17C8" w:rsidRDefault="000C17C8" w:rsidP="000C17C8">
      <w:r w:rsidRPr="000C17C8">
        <w:rPr>
          <w:b/>
          <w:bCs/>
        </w:rPr>
        <w:t>3. Commissioning and integration</w:t>
      </w:r>
      <w:r w:rsidRPr="000C17C8">
        <w:t> </w:t>
      </w:r>
    </w:p>
    <w:p w14:paraId="78371B67" w14:textId="77777777" w:rsidR="000C17C8" w:rsidRPr="000C17C8" w:rsidRDefault="000C17C8" w:rsidP="000C17C8">
      <w:pPr>
        <w:numPr>
          <w:ilvl w:val="0"/>
          <w:numId w:val="7"/>
        </w:numPr>
      </w:pPr>
      <w:r w:rsidRPr="000C17C8">
        <w:t>Reform commissioning to replace competitive, minute-by-minute purchasing with geographic, capacity-based contracts that guarantee hours. </w:t>
      </w:r>
    </w:p>
    <w:p w14:paraId="752331BB" w14:textId="77777777" w:rsidR="000C17C8" w:rsidRPr="000C17C8" w:rsidRDefault="000C17C8" w:rsidP="000C17C8">
      <w:pPr>
        <w:numPr>
          <w:ilvl w:val="0"/>
          <w:numId w:val="8"/>
        </w:numPr>
      </w:pPr>
      <w:r w:rsidRPr="000C17C8">
        <w:t>Integrate homecare into Neighbourhood Health Services to support community-based care and ease hospital pressures. </w:t>
      </w:r>
    </w:p>
    <w:p w14:paraId="6237C1C0" w14:textId="77777777" w:rsidR="000C17C8" w:rsidRPr="000C17C8" w:rsidRDefault="000C17C8" w:rsidP="000C17C8">
      <w:pPr>
        <w:numPr>
          <w:ilvl w:val="0"/>
          <w:numId w:val="9"/>
        </w:numPr>
      </w:pPr>
      <w:r w:rsidRPr="000C17C8">
        <w:t>Review Ethical Care Charter councils to ensure commitments align with fair pay and legal compliance. </w:t>
      </w:r>
    </w:p>
    <w:p w14:paraId="1010D578" w14:textId="77777777" w:rsidR="000C17C8" w:rsidRPr="000C17C8" w:rsidRDefault="000C17C8" w:rsidP="000C17C8">
      <w:r w:rsidRPr="000C17C8">
        <w:rPr>
          <w:b/>
          <w:bCs/>
        </w:rPr>
        <w:t xml:space="preserve">Why </w:t>
      </w:r>
      <w:proofErr w:type="gramStart"/>
      <w:r w:rsidRPr="000C17C8">
        <w:rPr>
          <w:b/>
          <w:bCs/>
        </w:rPr>
        <w:t>this matters</w:t>
      </w:r>
      <w:proofErr w:type="gramEnd"/>
      <w:r w:rsidRPr="000C17C8">
        <w:t> </w:t>
      </w:r>
    </w:p>
    <w:p w14:paraId="70DA1397" w14:textId="77777777" w:rsidR="000C17C8" w:rsidRPr="000C17C8" w:rsidRDefault="000C17C8" w:rsidP="000C17C8">
      <w:r w:rsidRPr="000C17C8">
        <w:t xml:space="preserve">Homecare enables people to live well at home and reduces hospital pressures. Underfunding social care </w:t>
      </w:r>
      <w:proofErr w:type="gramStart"/>
      <w:r w:rsidRPr="000C17C8">
        <w:t>costs</w:t>
      </w:r>
      <w:proofErr w:type="gramEnd"/>
      <w:r w:rsidRPr="000C17C8">
        <w:t xml:space="preserve"> the taxpayer far more through hospital delays and workforce loss. Investing properly in homecare is both a moral and an economic imperative: it keeps people independent, relieves hospital pressure, and strengthens local economies. </w:t>
      </w:r>
    </w:p>
    <w:p w14:paraId="792E6E21" w14:textId="77777777" w:rsidR="000C17C8" w:rsidRPr="000C17C8" w:rsidRDefault="000C17C8" w:rsidP="000C17C8">
      <w:r w:rsidRPr="000C17C8">
        <w:t>I urge you to raise these concerns with the relevant ministers and support measures that will ensure homecare can be delivered safely, legally, and sustainably. </w:t>
      </w:r>
    </w:p>
    <w:p w14:paraId="0543E5F2" w14:textId="77777777" w:rsidR="000C17C8" w:rsidRPr="000C17C8" w:rsidRDefault="000C17C8" w:rsidP="000C17C8">
      <w:r w:rsidRPr="000C17C8">
        <w:t>As your constituent, I would like to meet with you to discuss this further and tell you more about the services we deliver in your constituency.   </w:t>
      </w:r>
    </w:p>
    <w:p w14:paraId="18D9356E" w14:textId="77777777" w:rsidR="000C17C8" w:rsidRPr="000C17C8" w:rsidRDefault="000C17C8" w:rsidP="000C17C8">
      <w:r w:rsidRPr="000C17C8">
        <w:t>Yours sincerely, </w:t>
      </w:r>
    </w:p>
    <w:p w14:paraId="5FE37F7F" w14:textId="77777777" w:rsidR="000C17C8" w:rsidRPr="000C17C8" w:rsidRDefault="000C17C8" w:rsidP="000C17C8">
      <w:pPr>
        <w:rPr>
          <w:i/>
          <w:iCs/>
        </w:rPr>
      </w:pPr>
      <w:r w:rsidRPr="000C17C8">
        <w:rPr>
          <w:b/>
          <w:bCs/>
          <w:i/>
          <w:iCs/>
        </w:rPr>
        <w:t>[Your name]</w:t>
      </w:r>
      <w:r w:rsidRPr="000C17C8">
        <w:rPr>
          <w:i/>
          <w:iCs/>
        </w:rPr>
        <w:t> </w:t>
      </w:r>
    </w:p>
    <w:p w14:paraId="359F105E" w14:textId="77777777" w:rsidR="000C17C8" w:rsidRPr="000C17C8" w:rsidRDefault="000C17C8" w:rsidP="000C17C8">
      <w:pPr>
        <w:rPr>
          <w:i/>
          <w:iCs/>
        </w:rPr>
      </w:pPr>
      <w:r w:rsidRPr="000C17C8">
        <w:rPr>
          <w:b/>
          <w:bCs/>
          <w:i/>
          <w:iCs/>
        </w:rPr>
        <w:t>[Your organisation] </w:t>
      </w:r>
      <w:r w:rsidRPr="000C17C8">
        <w:rPr>
          <w:i/>
          <w:iCs/>
        </w:rPr>
        <w:t> </w:t>
      </w:r>
    </w:p>
    <w:p w14:paraId="3243A8D6" w14:textId="77777777" w:rsidR="000C17C8" w:rsidRPr="000C17C8" w:rsidRDefault="000C17C8" w:rsidP="000C17C8">
      <w:pPr>
        <w:rPr>
          <w:i/>
          <w:iCs/>
        </w:rPr>
      </w:pPr>
      <w:r w:rsidRPr="000C17C8">
        <w:rPr>
          <w:b/>
          <w:bCs/>
          <w:i/>
          <w:iCs/>
        </w:rPr>
        <w:t>[Contact details]</w:t>
      </w:r>
      <w:r w:rsidRPr="000C17C8">
        <w:rPr>
          <w:i/>
          <w:iCs/>
        </w:rPr>
        <w:t> </w:t>
      </w:r>
    </w:p>
    <w:p w14:paraId="78DE9246" w14:textId="77777777" w:rsidR="00A23D4E" w:rsidRDefault="00A23D4E"/>
    <w:sectPr w:rsidR="00A23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4CC"/>
    <w:multiLevelType w:val="multilevel"/>
    <w:tmpl w:val="A12C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E274E"/>
    <w:multiLevelType w:val="multilevel"/>
    <w:tmpl w:val="30E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64C6"/>
    <w:multiLevelType w:val="multilevel"/>
    <w:tmpl w:val="93F4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27519"/>
    <w:multiLevelType w:val="multilevel"/>
    <w:tmpl w:val="2B98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509D6"/>
    <w:multiLevelType w:val="multilevel"/>
    <w:tmpl w:val="0EB4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B7466"/>
    <w:multiLevelType w:val="multilevel"/>
    <w:tmpl w:val="880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DD1E70"/>
    <w:multiLevelType w:val="multilevel"/>
    <w:tmpl w:val="CC62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CA3BC0"/>
    <w:multiLevelType w:val="multilevel"/>
    <w:tmpl w:val="040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D22F9"/>
    <w:multiLevelType w:val="multilevel"/>
    <w:tmpl w:val="B354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3156905">
    <w:abstractNumId w:val="3"/>
  </w:num>
  <w:num w:numId="2" w16cid:durableId="1778522917">
    <w:abstractNumId w:val="6"/>
  </w:num>
  <w:num w:numId="3" w16cid:durableId="1963998581">
    <w:abstractNumId w:val="0"/>
  </w:num>
  <w:num w:numId="4" w16cid:durableId="150875732">
    <w:abstractNumId w:val="7"/>
  </w:num>
  <w:num w:numId="5" w16cid:durableId="224922272">
    <w:abstractNumId w:val="1"/>
  </w:num>
  <w:num w:numId="6" w16cid:durableId="1977490706">
    <w:abstractNumId w:val="5"/>
  </w:num>
  <w:num w:numId="7" w16cid:durableId="925266318">
    <w:abstractNumId w:val="8"/>
  </w:num>
  <w:num w:numId="8" w16cid:durableId="256057429">
    <w:abstractNumId w:val="4"/>
  </w:num>
  <w:num w:numId="9" w16cid:durableId="1556087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C8"/>
    <w:rsid w:val="0006011F"/>
    <w:rsid w:val="000C17C8"/>
    <w:rsid w:val="000C4FA3"/>
    <w:rsid w:val="00651B79"/>
    <w:rsid w:val="006A1354"/>
    <w:rsid w:val="00A23D4E"/>
    <w:rsid w:val="00A36DF7"/>
    <w:rsid w:val="00B6510D"/>
    <w:rsid w:val="00D91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7BFD"/>
  <w15:chartTrackingRefBased/>
  <w15:docId w15:val="{D3FC83C9-A9F8-40A8-997B-45651331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7C8"/>
    <w:rPr>
      <w:rFonts w:eastAsiaTheme="majorEastAsia" w:cstheme="majorBidi"/>
      <w:color w:val="272727" w:themeColor="text1" w:themeTint="D8"/>
    </w:rPr>
  </w:style>
  <w:style w:type="paragraph" w:styleId="Title">
    <w:name w:val="Title"/>
    <w:basedOn w:val="Normal"/>
    <w:next w:val="Normal"/>
    <w:link w:val="TitleChar"/>
    <w:uiPriority w:val="10"/>
    <w:qFormat/>
    <w:rsid w:val="000C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7C8"/>
    <w:pPr>
      <w:spacing w:before="160"/>
      <w:jc w:val="center"/>
    </w:pPr>
    <w:rPr>
      <w:i/>
      <w:iCs/>
      <w:color w:val="404040" w:themeColor="text1" w:themeTint="BF"/>
    </w:rPr>
  </w:style>
  <w:style w:type="character" w:customStyle="1" w:styleId="QuoteChar">
    <w:name w:val="Quote Char"/>
    <w:basedOn w:val="DefaultParagraphFont"/>
    <w:link w:val="Quote"/>
    <w:uiPriority w:val="29"/>
    <w:rsid w:val="000C17C8"/>
    <w:rPr>
      <w:i/>
      <w:iCs/>
      <w:color w:val="404040" w:themeColor="text1" w:themeTint="BF"/>
    </w:rPr>
  </w:style>
  <w:style w:type="paragraph" w:styleId="ListParagraph">
    <w:name w:val="List Paragraph"/>
    <w:basedOn w:val="Normal"/>
    <w:uiPriority w:val="34"/>
    <w:qFormat/>
    <w:rsid w:val="000C17C8"/>
    <w:pPr>
      <w:ind w:left="720"/>
      <w:contextualSpacing/>
    </w:pPr>
  </w:style>
  <w:style w:type="character" w:styleId="IntenseEmphasis">
    <w:name w:val="Intense Emphasis"/>
    <w:basedOn w:val="DefaultParagraphFont"/>
    <w:uiPriority w:val="21"/>
    <w:qFormat/>
    <w:rsid w:val="000C17C8"/>
    <w:rPr>
      <w:i/>
      <w:iCs/>
      <w:color w:val="0F4761" w:themeColor="accent1" w:themeShade="BF"/>
    </w:rPr>
  </w:style>
  <w:style w:type="paragraph" w:styleId="IntenseQuote">
    <w:name w:val="Intense Quote"/>
    <w:basedOn w:val="Normal"/>
    <w:next w:val="Normal"/>
    <w:link w:val="IntenseQuoteChar"/>
    <w:uiPriority w:val="30"/>
    <w:qFormat/>
    <w:rsid w:val="000C1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7C8"/>
    <w:rPr>
      <w:i/>
      <w:iCs/>
      <w:color w:val="0F4761" w:themeColor="accent1" w:themeShade="BF"/>
    </w:rPr>
  </w:style>
  <w:style w:type="character" w:styleId="IntenseReference">
    <w:name w:val="Intense Reference"/>
    <w:basedOn w:val="DefaultParagraphFont"/>
    <w:uiPriority w:val="32"/>
    <w:qFormat/>
    <w:rsid w:val="000C17C8"/>
    <w:rPr>
      <w:b/>
      <w:bCs/>
      <w:smallCaps/>
      <w:color w:val="0F4761" w:themeColor="accent1" w:themeShade="BF"/>
      <w:spacing w:val="5"/>
    </w:rPr>
  </w:style>
  <w:style w:type="character" w:styleId="Hyperlink">
    <w:name w:val="Hyperlink"/>
    <w:basedOn w:val="DefaultParagraphFont"/>
    <w:uiPriority w:val="99"/>
    <w:unhideWhenUsed/>
    <w:rsid w:val="000C17C8"/>
    <w:rPr>
      <w:color w:val="467886" w:themeColor="hyperlink"/>
      <w:u w:val="single"/>
    </w:rPr>
  </w:style>
  <w:style w:type="character" w:styleId="UnresolvedMention">
    <w:name w:val="Unresolved Mention"/>
    <w:basedOn w:val="DefaultParagraphFont"/>
    <w:uiPriority w:val="99"/>
    <w:semiHidden/>
    <w:unhideWhenUsed/>
    <w:rsid w:val="000C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mecareassociation.org.uk/about-us/research-and-reports.html" TargetMode="External"/><Relationship Id="rId5" Type="http://schemas.openxmlformats.org/officeDocument/2006/relationships/hyperlink" Target="https://www.homecareassociation.org.uk/resource/the-homecare-deficit-202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2962</Characters>
  <Application>Microsoft Office Word</Application>
  <DocSecurity>0</DocSecurity>
  <Lines>63</Lines>
  <Paragraphs>31</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Parchment</dc:creator>
  <cp:keywords/>
  <dc:description/>
  <cp:lastModifiedBy>Maya Parchment</cp:lastModifiedBy>
  <cp:revision>4</cp:revision>
  <dcterms:created xsi:type="dcterms:W3CDTF">2025-11-19T14:28:00Z</dcterms:created>
  <dcterms:modified xsi:type="dcterms:W3CDTF">2025-11-21T08:32:00Z</dcterms:modified>
</cp:coreProperties>
</file>