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8C86" w14:textId="1A0BEF10" w:rsidR="004A2725" w:rsidRPr="00522219" w:rsidRDefault="00515F38" w:rsidP="004A2725">
      <w:pPr>
        <w:rPr>
          <w:rFonts w:ascii="Utopia Std" w:hAnsi="Utopia Std" w:cs="Arial"/>
          <w:b/>
          <w:sz w:val="44"/>
          <w:szCs w:val="44"/>
        </w:rPr>
      </w:pPr>
      <w:r w:rsidRPr="00522219">
        <w:rPr>
          <w:rFonts w:ascii="Utopia Std" w:hAnsi="Utopia Std" w:cs="Arial"/>
          <w:b/>
          <w:sz w:val="44"/>
          <w:szCs w:val="44"/>
        </w:rPr>
        <w:t>Homecare Association submission to the MHCLG consultation about the p</w:t>
      </w:r>
      <w:r w:rsidR="004A2725" w:rsidRPr="00522219">
        <w:rPr>
          <w:rFonts w:ascii="Utopia Std" w:hAnsi="Utopia Std" w:cs="Arial"/>
          <w:b/>
          <w:sz w:val="44"/>
          <w:szCs w:val="44"/>
        </w:rPr>
        <w:t>rovisional local government finance settlement: England, 2026 to 2027</w:t>
      </w:r>
      <w:r w:rsidRPr="00522219">
        <w:rPr>
          <w:rFonts w:ascii="Utopia Std" w:hAnsi="Utopia Std" w:cs="Arial"/>
          <w:b/>
          <w:sz w:val="44"/>
          <w:szCs w:val="44"/>
        </w:rPr>
        <w:t xml:space="preserve"> </w:t>
      </w:r>
      <w:r w:rsidR="004A2725" w:rsidRPr="00522219">
        <w:rPr>
          <w:rFonts w:ascii="Utopia Std" w:hAnsi="Utopia Std" w:cs="Arial"/>
          <w:b/>
          <w:sz w:val="44"/>
          <w:szCs w:val="44"/>
        </w:rPr>
        <w:t> </w:t>
      </w:r>
    </w:p>
    <w:p w14:paraId="16E0D9FC" w14:textId="6D54CAF8" w:rsidR="00515F38" w:rsidRDefault="00515F38" w:rsidP="00522219">
      <w:pPr>
        <w:jc w:val="right"/>
        <w:rPr>
          <w:rFonts w:ascii="Arial" w:hAnsi="Arial" w:cs="Arial"/>
          <w:i/>
          <w:sz w:val="22"/>
          <w:szCs w:val="22"/>
        </w:rPr>
      </w:pPr>
      <w:r w:rsidRPr="00522219">
        <w:rPr>
          <w:rFonts w:ascii="Arial" w:hAnsi="Arial" w:cs="Arial"/>
          <w:i/>
          <w:sz w:val="22"/>
          <w:szCs w:val="22"/>
        </w:rPr>
        <w:t xml:space="preserve">Submitted via the MHCLG Portal on </w:t>
      </w:r>
      <w:r w:rsidR="003929F4" w:rsidRPr="00522219">
        <w:rPr>
          <w:rFonts w:ascii="Arial" w:hAnsi="Arial" w:cs="Arial"/>
          <w:i/>
          <w:sz w:val="22"/>
          <w:szCs w:val="22"/>
        </w:rPr>
        <w:t>Wednesday,</w:t>
      </w:r>
      <w:r w:rsidRPr="00522219">
        <w:rPr>
          <w:rFonts w:ascii="Arial" w:hAnsi="Arial" w:cs="Arial"/>
          <w:i/>
          <w:sz w:val="22"/>
          <w:szCs w:val="22"/>
        </w:rPr>
        <w:t xml:space="preserve"> 14 January 2026</w:t>
      </w:r>
    </w:p>
    <w:p w14:paraId="5E4E61EE" w14:textId="77777777" w:rsidR="00522219" w:rsidRPr="00522219" w:rsidRDefault="00522219" w:rsidP="00522219">
      <w:pPr>
        <w:jc w:val="right"/>
        <w:rPr>
          <w:rFonts w:ascii="Arial" w:hAnsi="Arial" w:cs="Arial"/>
          <w:i/>
          <w:iCs/>
          <w:sz w:val="22"/>
          <w:szCs w:val="22"/>
        </w:rPr>
      </w:pPr>
    </w:p>
    <w:p w14:paraId="60D30664" w14:textId="337181F5" w:rsidR="00021D89" w:rsidRPr="00522219" w:rsidRDefault="004A2725" w:rsidP="00691108">
      <w:pPr>
        <w:pStyle w:val="ListParagraph"/>
        <w:numPr>
          <w:ilvl w:val="0"/>
          <w:numId w:val="8"/>
        </w:numPr>
        <w:rPr>
          <w:rFonts w:ascii="Arial" w:hAnsi="Arial" w:cs="Arial"/>
          <w:b/>
        </w:rPr>
      </w:pPr>
      <w:r w:rsidRPr="00522219">
        <w:rPr>
          <w:rFonts w:ascii="Arial" w:hAnsi="Arial" w:cs="Arial"/>
          <w:b/>
        </w:rPr>
        <w:t xml:space="preserve">Do you agree or disagree with the government’s proposals for distributing the total Fair Funding Allocation across the multi-year Settlement period from 2026-27? </w:t>
      </w:r>
    </w:p>
    <w:p w14:paraId="084A35E7" w14:textId="015CD138" w:rsidR="004A2725" w:rsidRPr="00021D89" w:rsidRDefault="004A2725" w:rsidP="00021D89">
      <w:pPr>
        <w:rPr>
          <w:rFonts w:ascii="Arial" w:hAnsi="Arial" w:cs="Arial"/>
        </w:rPr>
      </w:pPr>
      <w:r w:rsidRPr="00021D89">
        <w:rPr>
          <w:rFonts w:ascii="Arial" w:hAnsi="Arial" w:cs="Arial"/>
        </w:rPr>
        <w:t>This encompasses the approach to Baseline Funding Levels, Revenue Support Grant, the Adult Social Care Relative Needs Formula distribution, the additional funding for local services, the approach to the Local Authority Better Care Grant, and the method for calculating tariffs and top-ups.</w:t>
      </w:r>
    </w:p>
    <w:p w14:paraId="3456EE01" w14:textId="31786371" w:rsidR="00021D89" w:rsidRPr="00021D89" w:rsidRDefault="004A2725" w:rsidP="00021D89">
      <w:pPr>
        <w:pStyle w:val="ListParagraph"/>
        <w:numPr>
          <w:ilvl w:val="0"/>
          <w:numId w:val="2"/>
        </w:numPr>
        <w:rPr>
          <w:rFonts w:ascii="Arial" w:hAnsi="Arial" w:cs="Arial"/>
        </w:rPr>
      </w:pPr>
      <w:r w:rsidRPr="00021D89">
        <w:rPr>
          <w:rFonts w:ascii="Arial" w:hAnsi="Arial" w:cs="Arial"/>
        </w:rPr>
        <w:t>Agree </w:t>
      </w:r>
    </w:p>
    <w:p w14:paraId="34E6F903" w14:textId="77777777" w:rsidR="00021D89" w:rsidRPr="00691108" w:rsidRDefault="004A2725" w:rsidP="00021D89">
      <w:pPr>
        <w:pStyle w:val="ListParagraph"/>
        <w:numPr>
          <w:ilvl w:val="0"/>
          <w:numId w:val="2"/>
        </w:numPr>
        <w:rPr>
          <w:rFonts w:ascii="Arial" w:hAnsi="Arial" w:cs="Arial"/>
          <w:highlight w:val="yellow"/>
        </w:rPr>
      </w:pPr>
      <w:r w:rsidRPr="00691108">
        <w:rPr>
          <w:rFonts w:ascii="Arial" w:hAnsi="Arial" w:cs="Arial"/>
          <w:highlight w:val="yellow"/>
        </w:rPr>
        <w:t>Neither agree nor disagree </w:t>
      </w:r>
    </w:p>
    <w:p w14:paraId="70D4DEE8" w14:textId="77777777" w:rsidR="00021D89" w:rsidRPr="00021D89" w:rsidRDefault="004A2725" w:rsidP="00021D89">
      <w:pPr>
        <w:pStyle w:val="ListParagraph"/>
        <w:numPr>
          <w:ilvl w:val="0"/>
          <w:numId w:val="2"/>
        </w:numPr>
        <w:rPr>
          <w:rFonts w:ascii="Arial" w:hAnsi="Arial" w:cs="Arial"/>
        </w:rPr>
      </w:pPr>
      <w:r w:rsidRPr="00021D89">
        <w:rPr>
          <w:rFonts w:ascii="Arial" w:hAnsi="Arial" w:cs="Arial"/>
        </w:rPr>
        <w:t>Disagree </w:t>
      </w:r>
    </w:p>
    <w:p w14:paraId="22028D9A" w14:textId="7BEA914B" w:rsidR="004A2725" w:rsidRPr="00021D89" w:rsidRDefault="004A2725" w:rsidP="00021D89">
      <w:pPr>
        <w:pStyle w:val="ListParagraph"/>
        <w:numPr>
          <w:ilvl w:val="0"/>
          <w:numId w:val="2"/>
        </w:numPr>
        <w:rPr>
          <w:rFonts w:ascii="Arial" w:hAnsi="Arial" w:cs="Arial"/>
        </w:rPr>
      </w:pPr>
      <w:r w:rsidRPr="00021D89">
        <w:rPr>
          <w:rFonts w:ascii="Arial" w:hAnsi="Arial" w:cs="Arial"/>
        </w:rPr>
        <w:t>No view</w:t>
      </w:r>
    </w:p>
    <w:p w14:paraId="08B36D4D" w14:textId="157496C3" w:rsidR="00021D89" w:rsidRDefault="004A2725" w:rsidP="004A2725">
      <w:pPr>
        <w:rPr>
          <w:rFonts w:ascii="Arial" w:hAnsi="Arial" w:cs="Arial"/>
        </w:rPr>
      </w:pPr>
      <w:r w:rsidRPr="008E35F2">
        <w:rPr>
          <w:rFonts w:ascii="Arial" w:hAnsi="Arial" w:cs="Arial"/>
          <w:highlight w:val="yellow"/>
        </w:rPr>
        <w:t>Please provide any additional information, including any explanation or evidence for your response.</w:t>
      </w:r>
    </w:p>
    <w:p w14:paraId="0D49C8B3" w14:textId="77777777" w:rsidR="003F72B5" w:rsidRPr="003F72B5" w:rsidRDefault="003F72B5" w:rsidP="003F72B5">
      <w:pPr>
        <w:rPr>
          <w:rFonts w:ascii="Arial" w:hAnsi="Arial" w:cs="Arial"/>
        </w:rPr>
      </w:pPr>
      <w:r w:rsidRPr="003F72B5">
        <w:rPr>
          <w:rFonts w:ascii="Arial" w:hAnsi="Arial" w:cs="Arial"/>
        </w:rPr>
        <w:t>We welcome the Government’s decision to move to a multi-year local government finance settlement and to update the distribution of funding using more recent measures of relative need. Councils and providers have called for greater certainty for many years.</w:t>
      </w:r>
    </w:p>
    <w:p w14:paraId="20D087DD" w14:textId="77777777" w:rsidR="008402F1" w:rsidRPr="008402F1" w:rsidRDefault="008402F1" w:rsidP="008402F1">
      <w:pPr>
        <w:rPr>
          <w:rFonts w:ascii="Arial" w:hAnsi="Arial" w:cs="Arial"/>
        </w:rPr>
      </w:pPr>
      <w:r w:rsidRPr="008402F1">
        <w:rPr>
          <w:rFonts w:ascii="Arial" w:hAnsi="Arial" w:cs="Arial"/>
        </w:rPr>
        <w:t>However, the proposed approach to distributing the Fair Funding Allocation across the multi-year Settlement period raises serious concerns for homecare providers. As currently designed, the settlement will not deliver sustainable adult social care services. It risks entrenching existing underfunding, increasing geographic inequality, and undermining the delivery of the Government’s adult social care, workforce and hospital discharge reform objectives.</w:t>
      </w:r>
    </w:p>
    <w:p w14:paraId="7AF8F615" w14:textId="77777777" w:rsidR="008402F1" w:rsidRPr="008402F1" w:rsidRDefault="008402F1" w:rsidP="008402F1">
      <w:pPr>
        <w:rPr>
          <w:rFonts w:ascii="Arial" w:hAnsi="Arial" w:cs="Arial"/>
        </w:rPr>
      </w:pPr>
      <w:r w:rsidRPr="008402F1">
        <w:rPr>
          <w:rFonts w:ascii="Arial" w:hAnsi="Arial" w:cs="Arial"/>
        </w:rPr>
        <w:t xml:space="preserve">While we support the principle of a multi-year settlement and the use of updated measures of relative need, we do not believe the current proposals will achieve these objectives unless they are amended. In particular, the settlement fails to align </w:t>
      </w:r>
      <w:r w:rsidRPr="008402F1">
        <w:rPr>
          <w:rFonts w:ascii="Arial" w:hAnsi="Arial" w:cs="Arial"/>
        </w:rPr>
        <w:lastRenderedPageBreak/>
        <w:t>funding growth with cost growth in the early years, relies excessively on council tax, removes vital protections for adult social care funding, and lacks enforceable mechanisms to ensure funding reaches frontline homecare services.</w:t>
      </w:r>
    </w:p>
    <w:p w14:paraId="1093001A" w14:textId="09A135F2" w:rsidR="006C6CDF" w:rsidRPr="006C6CDF" w:rsidRDefault="006C6CDF" w:rsidP="006C6CDF">
      <w:pPr>
        <w:rPr>
          <w:rFonts w:ascii="Arial" w:hAnsi="Arial" w:cs="Arial"/>
          <w:b/>
          <w:bCs/>
        </w:rPr>
      </w:pPr>
      <w:r w:rsidRPr="006C6CDF">
        <w:rPr>
          <w:rFonts w:ascii="Arial" w:hAnsi="Arial" w:cs="Arial"/>
          <w:b/>
          <w:bCs/>
        </w:rPr>
        <w:t>Multi-year certainty does not offset insufficient and poorly timed funding</w:t>
      </w:r>
    </w:p>
    <w:p w14:paraId="7277A4D5" w14:textId="58DB09A7" w:rsidR="006C6CDF" w:rsidRPr="006C6CDF" w:rsidRDefault="006C6CDF" w:rsidP="006C6CDF">
      <w:pPr>
        <w:rPr>
          <w:rFonts w:ascii="Arial" w:hAnsi="Arial" w:cs="Arial"/>
        </w:rPr>
      </w:pPr>
      <w:r w:rsidRPr="006C6CDF">
        <w:rPr>
          <w:rFonts w:ascii="Arial" w:hAnsi="Arial" w:cs="Arial"/>
        </w:rPr>
        <w:t>We support the principle of a multi-year settlement. Greater certainty can support better planning and commissioning. However, certainty alone does not deliver sustainability if funding does not keep pace with costs.</w:t>
      </w:r>
    </w:p>
    <w:p w14:paraId="72FB72D7" w14:textId="2FD7E211" w:rsidR="006C6CDF" w:rsidRPr="006C6CDF" w:rsidRDefault="006C6CDF" w:rsidP="006C6CDF">
      <w:pPr>
        <w:rPr>
          <w:rFonts w:ascii="Arial" w:hAnsi="Arial" w:cs="Arial"/>
        </w:rPr>
      </w:pPr>
      <w:r w:rsidRPr="006C6CDF">
        <w:rPr>
          <w:rFonts w:ascii="Arial" w:hAnsi="Arial" w:cs="Arial"/>
        </w:rPr>
        <w:t xml:space="preserve">The </w:t>
      </w:r>
      <w:r>
        <w:rPr>
          <w:rFonts w:ascii="Arial" w:hAnsi="Arial" w:cs="Arial"/>
        </w:rPr>
        <w:t>g</w:t>
      </w:r>
      <w:r w:rsidRPr="006C6CDF">
        <w:rPr>
          <w:rFonts w:ascii="Arial" w:hAnsi="Arial" w:cs="Arial"/>
        </w:rPr>
        <w:t xml:space="preserve">overnment highlights increased adult social care funding by 2028–29, but the settlement delivers much of this growth late in the period. In 2026–27, funding growth remains limited, despite immediate cost pressures on homecare providers. </w:t>
      </w:r>
      <w:r w:rsidR="00942E09" w:rsidRPr="00942E09">
        <w:rPr>
          <w:rFonts w:ascii="Arial" w:hAnsi="Arial" w:cs="Arial"/>
        </w:rPr>
        <w:t>The National Living Wage has increased by 17% since 2023–24, yet in England local authority fee rates increased by only 13% on average, and NHS rates by just 11%. In some regions, including the South East, fee uplifts averaged only 5%</w:t>
      </w:r>
      <w:r w:rsidR="00BF59A5">
        <w:rPr>
          <w:rFonts w:ascii="Arial" w:hAnsi="Arial" w:cs="Arial"/>
        </w:rPr>
        <w:t xml:space="preserve"> (Homecare Association, Homecare Deficit Report 2025)</w:t>
      </w:r>
      <w:r w:rsidR="00942E09">
        <w:rPr>
          <w:rFonts w:ascii="Arial" w:hAnsi="Arial" w:cs="Arial"/>
        </w:rPr>
        <w:t>.</w:t>
      </w:r>
    </w:p>
    <w:p w14:paraId="107B7B1F" w14:textId="1D3D7B0C" w:rsidR="003937F6" w:rsidRDefault="00752BFF" w:rsidP="006C6CDF">
      <w:pPr>
        <w:rPr>
          <w:rFonts w:ascii="Arial" w:hAnsi="Arial" w:cs="Arial"/>
        </w:rPr>
      </w:pPr>
      <w:r w:rsidRPr="00752BFF">
        <w:rPr>
          <w:rFonts w:ascii="Arial" w:hAnsi="Arial" w:cs="Arial"/>
        </w:rPr>
        <w:t>Homecare providers cannot defer these costs. Wages, travel time, mileage, and regulatory compliance costs apply immediately</w:t>
      </w:r>
      <w:r w:rsidR="003E00B5">
        <w:rPr>
          <w:rFonts w:ascii="Arial" w:hAnsi="Arial" w:cs="Arial"/>
        </w:rPr>
        <w:t xml:space="preserve"> – these costs are inescapable</w:t>
      </w:r>
      <w:r w:rsidRPr="00752BFF">
        <w:rPr>
          <w:rFonts w:ascii="Arial" w:hAnsi="Arial" w:cs="Arial"/>
        </w:rPr>
        <w:t xml:space="preserve">. </w:t>
      </w:r>
      <w:r w:rsidR="003937F6" w:rsidRPr="003937F6">
        <w:rPr>
          <w:rFonts w:ascii="Arial" w:hAnsi="Arial" w:cs="Arial"/>
        </w:rPr>
        <w:t xml:space="preserve">Recent policy decisions have compounded these pressures. The </w:t>
      </w:r>
      <w:r w:rsidR="003937F6">
        <w:rPr>
          <w:rFonts w:ascii="Arial" w:hAnsi="Arial" w:cs="Arial"/>
        </w:rPr>
        <w:t>g</w:t>
      </w:r>
      <w:r w:rsidR="003937F6" w:rsidRPr="003937F6">
        <w:rPr>
          <w:rFonts w:ascii="Arial" w:hAnsi="Arial" w:cs="Arial"/>
        </w:rPr>
        <w:t>overnment did not fund the increase in employers’ National Insurance Contributions for social care employers, despite the sector’s heavy reliance on labour</w:t>
      </w:r>
      <w:r w:rsidR="00F430F2">
        <w:rPr>
          <w:rFonts w:ascii="Arial" w:hAnsi="Arial" w:cs="Arial"/>
        </w:rPr>
        <w:t xml:space="preserve">, especially part-time </w:t>
      </w:r>
      <w:r w:rsidR="008D2D74">
        <w:rPr>
          <w:rFonts w:ascii="Arial" w:hAnsi="Arial" w:cs="Arial"/>
        </w:rPr>
        <w:t>labour,</w:t>
      </w:r>
      <w:r w:rsidR="00F430F2">
        <w:rPr>
          <w:rFonts w:ascii="Arial" w:hAnsi="Arial" w:cs="Arial"/>
        </w:rPr>
        <w:t xml:space="preserve"> wh</w:t>
      </w:r>
      <w:r w:rsidR="00D94A17">
        <w:rPr>
          <w:rFonts w:ascii="Arial" w:hAnsi="Arial" w:cs="Arial"/>
        </w:rPr>
        <w:t>ere the ENICs threshold change has a disproportionately higher effect</w:t>
      </w:r>
      <w:r w:rsidR="007631BB">
        <w:rPr>
          <w:rFonts w:ascii="Arial" w:hAnsi="Arial" w:cs="Arial"/>
        </w:rPr>
        <w:t>. This means providers have</w:t>
      </w:r>
      <w:r w:rsidR="003937F6" w:rsidRPr="003937F6">
        <w:rPr>
          <w:rFonts w:ascii="Arial" w:hAnsi="Arial" w:cs="Arial"/>
        </w:rPr>
        <w:t xml:space="preserve"> </w:t>
      </w:r>
      <w:r w:rsidR="008D2D74">
        <w:rPr>
          <w:rFonts w:ascii="Arial" w:hAnsi="Arial" w:cs="Arial"/>
        </w:rPr>
        <w:t>a limited</w:t>
      </w:r>
      <w:r w:rsidR="008D2D74" w:rsidRPr="003937F6">
        <w:rPr>
          <w:rFonts w:ascii="Arial" w:hAnsi="Arial" w:cs="Arial"/>
        </w:rPr>
        <w:t xml:space="preserve"> </w:t>
      </w:r>
      <w:r w:rsidR="003937F6" w:rsidRPr="003937F6">
        <w:rPr>
          <w:rFonts w:ascii="Arial" w:hAnsi="Arial" w:cs="Arial"/>
        </w:rPr>
        <w:t>ability to absorb additional costs. Social care employers will also face significant new costs arising from the Employment Rights Act 2025, including higher statutory sick pay costs from 2026–27. These pressures fall particularly hard on homecare, where much of the workforce works part time, earns low wages and lacks access to occupational sick pay because commissioning rates have remained constrained for many years.</w:t>
      </w:r>
    </w:p>
    <w:p w14:paraId="28E84866" w14:textId="228472C3" w:rsidR="006C6CDF" w:rsidRPr="006C6CDF" w:rsidRDefault="00752BFF" w:rsidP="006C6CDF">
      <w:pPr>
        <w:rPr>
          <w:rFonts w:ascii="Arial" w:hAnsi="Arial" w:cs="Arial"/>
        </w:rPr>
      </w:pPr>
      <w:r w:rsidRPr="00752BFF">
        <w:rPr>
          <w:rFonts w:ascii="Arial" w:hAnsi="Arial" w:cs="Arial"/>
        </w:rPr>
        <w:t>A settlement that back-loads funding while expecting providers to absorb front-loaded costs increases the risk of provider exit in the early years of the settlement, undermining the Government’s own reform objectives.</w:t>
      </w:r>
      <w:r w:rsidR="006B43F8">
        <w:rPr>
          <w:rFonts w:ascii="Arial" w:hAnsi="Arial" w:cs="Arial"/>
        </w:rPr>
        <w:t xml:space="preserve"> </w:t>
      </w:r>
      <w:r w:rsidR="006C6CDF" w:rsidRPr="006C6CDF">
        <w:rPr>
          <w:rFonts w:ascii="Arial" w:hAnsi="Arial" w:cs="Arial"/>
        </w:rPr>
        <w:t xml:space="preserve">A multi-year settlement only delivers stability when funding growth tracks cost growth year by year. The current proposals do not meet that </w:t>
      </w:r>
      <w:r>
        <w:rPr>
          <w:rFonts w:ascii="Arial" w:hAnsi="Arial" w:cs="Arial"/>
        </w:rPr>
        <w:t>test.</w:t>
      </w:r>
    </w:p>
    <w:p w14:paraId="29D9F514" w14:textId="23A3FE34" w:rsidR="007806AE" w:rsidRPr="006C6CDF" w:rsidRDefault="007806AE" w:rsidP="006C6CDF">
      <w:pPr>
        <w:rPr>
          <w:rFonts w:ascii="Arial" w:hAnsi="Arial" w:cs="Arial"/>
        </w:rPr>
      </w:pPr>
      <w:r w:rsidRPr="007806AE">
        <w:rPr>
          <w:rFonts w:ascii="Arial" w:hAnsi="Arial" w:cs="Arial"/>
        </w:rPr>
        <w:t>This creates a material delivery risk for adult social care reform, hospital discharge and workforce retention, as providers cannot legally or practically operate at a loss while waiting for funding that arrives later in the settlement period.</w:t>
      </w:r>
    </w:p>
    <w:p w14:paraId="2F44816C" w14:textId="3ACA9E48" w:rsidR="009A78C1" w:rsidRPr="009A78C1" w:rsidRDefault="009A78C1" w:rsidP="009A78C1">
      <w:pPr>
        <w:rPr>
          <w:rFonts w:ascii="Arial" w:hAnsi="Arial" w:cs="Arial"/>
          <w:b/>
          <w:bCs/>
        </w:rPr>
      </w:pPr>
      <w:r w:rsidRPr="009A78C1">
        <w:rPr>
          <w:rFonts w:ascii="Arial" w:hAnsi="Arial" w:cs="Arial"/>
          <w:b/>
          <w:bCs/>
        </w:rPr>
        <w:t>The settlement relies too heavily on council tax to fund adult social care</w:t>
      </w:r>
    </w:p>
    <w:p w14:paraId="7225D36A" w14:textId="4BBDE2DE" w:rsidR="009A78C1" w:rsidRPr="009A78C1" w:rsidRDefault="009A78C1" w:rsidP="009A78C1">
      <w:pPr>
        <w:rPr>
          <w:rFonts w:ascii="Arial" w:hAnsi="Arial" w:cs="Arial"/>
        </w:rPr>
      </w:pPr>
      <w:r w:rsidRPr="009A78C1">
        <w:rPr>
          <w:rFonts w:ascii="Arial" w:hAnsi="Arial" w:cs="Arial"/>
        </w:rPr>
        <w:lastRenderedPageBreak/>
        <w:t xml:space="preserve">The </w:t>
      </w:r>
      <w:r>
        <w:rPr>
          <w:rFonts w:ascii="Arial" w:hAnsi="Arial" w:cs="Arial"/>
        </w:rPr>
        <w:t>proposals assume councils will</w:t>
      </w:r>
      <w:r w:rsidRPr="009A78C1">
        <w:rPr>
          <w:rFonts w:ascii="Arial" w:hAnsi="Arial" w:cs="Arial"/>
        </w:rPr>
        <w:t xml:space="preserve"> deliver a significant share of additional adult social care funding through council tax, including the adult social care precept. This represents a </w:t>
      </w:r>
      <w:r w:rsidR="003D07F0">
        <w:rPr>
          <w:rFonts w:ascii="Arial" w:hAnsi="Arial" w:cs="Arial"/>
        </w:rPr>
        <w:t>deliberate</w:t>
      </w:r>
      <w:r w:rsidRPr="009A78C1">
        <w:rPr>
          <w:rFonts w:ascii="Arial" w:hAnsi="Arial" w:cs="Arial"/>
        </w:rPr>
        <w:t xml:space="preserve"> policy choice.</w:t>
      </w:r>
    </w:p>
    <w:p w14:paraId="344E90F0" w14:textId="43942D74" w:rsidR="0093712B" w:rsidRPr="0093712B" w:rsidRDefault="0093712B" w:rsidP="0093712B">
      <w:pPr>
        <w:rPr>
          <w:rFonts w:ascii="Arial" w:hAnsi="Arial" w:cs="Arial"/>
        </w:rPr>
      </w:pPr>
      <w:r w:rsidRPr="0093712B">
        <w:rPr>
          <w:rFonts w:ascii="Arial" w:hAnsi="Arial" w:cs="Arial"/>
        </w:rPr>
        <w:t xml:space="preserve">Evidence shows that successive governments have reduced direct central funding for adult social care and expected councils to bridge the gap through council tax. This approach has failed. </w:t>
      </w:r>
      <w:r w:rsidR="00F90EC8">
        <w:rPr>
          <w:rFonts w:ascii="Arial" w:hAnsi="Arial" w:cs="Arial"/>
        </w:rPr>
        <w:t xml:space="preserve">While the new Relative Needs Formula </w:t>
      </w:r>
      <w:r w:rsidR="000A4506">
        <w:rPr>
          <w:rFonts w:ascii="Arial" w:hAnsi="Arial" w:cs="Arial"/>
        </w:rPr>
        <w:t>focuses</w:t>
      </w:r>
      <w:r w:rsidR="00F90EC8">
        <w:rPr>
          <w:rFonts w:ascii="Arial" w:hAnsi="Arial" w:cs="Arial"/>
        </w:rPr>
        <w:t xml:space="preserve"> </w:t>
      </w:r>
      <w:r w:rsidR="009B4FE8">
        <w:rPr>
          <w:rFonts w:ascii="Arial" w:hAnsi="Arial" w:cs="Arial"/>
        </w:rPr>
        <w:t>f</w:t>
      </w:r>
      <w:r w:rsidR="00F90EC8">
        <w:rPr>
          <w:rFonts w:ascii="Arial" w:hAnsi="Arial" w:cs="Arial"/>
        </w:rPr>
        <w:t>unding on areas of deprivation, c</w:t>
      </w:r>
      <w:r w:rsidRPr="0093712B">
        <w:rPr>
          <w:rFonts w:ascii="Arial" w:hAnsi="Arial" w:cs="Arial"/>
        </w:rPr>
        <w:t>ouncil tax remains regressive and disadvantages areas with higher deprivation and higher demand, precisely where homecare need is greatest</w:t>
      </w:r>
      <w:r>
        <w:rPr>
          <w:rFonts w:ascii="Arial" w:hAnsi="Arial" w:cs="Arial"/>
        </w:rPr>
        <w:t>.</w:t>
      </w:r>
    </w:p>
    <w:p w14:paraId="0059AC1B" w14:textId="242B82BD" w:rsidR="006C6CDF" w:rsidRPr="003F72B5" w:rsidRDefault="0093712B" w:rsidP="003F72B5">
      <w:pPr>
        <w:rPr>
          <w:rFonts w:ascii="Arial" w:hAnsi="Arial" w:cs="Arial"/>
        </w:rPr>
      </w:pPr>
      <w:r w:rsidRPr="0093712B">
        <w:rPr>
          <w:rFonts w:ascii="Arial" w:hAnsi="Arial" w:cs="Arial"/>
        </w:rPr>
        <w:t xml:space="preserve">As a result, commissioning decisions increasingly prioritise cost containment over sustainability. Our evidence shows that nearly three in ten councils now pay average rates below direct careworker employment costs at the statutory minimum wage, almost four times the proportion recorded in </w:t>
      </w:r>
      <w:r w:rsidR="008C075E">
        <w:rPr>
          <w:rFonts w:ascii="Arial" w:hAnsi="Arial" w:cs="Arial"/>
        </w:rPr>
        <w:t>2023.</w:t>
      </w:r>
    </w:p>
    <w:p w14:paraId="73A875B3" w14:textId="6477783B" w:rsidR="00984D45" w:rsidRPr="003F72B5" w:rsidRDefault="00984D45" w:rsidP="003F72B5">
      <w:pPr>
        <w:rPr>
          <w:rFonts w:ascii="Arial" w:hAnsi="Arial" w:cs="Arial"/>
        </w:rPr>
      </w:pPr>
      <w:r w:rsidRPr="00984D45">
        <w:rPr>
          <w:rFonts w:ascii="Arial" w:hAnsi="Arial" w:cs="Arial"/>
        </w:rPr>
        <w:t>Continued reliance on council tax to fund nationally mandated adult social care reform also weakens national accountability. It obscures whether government funding commitments are genuinely sufficient and shifts political and financial risk onto local authorities and providers, rather than resolving it at sourc</w:t>
      </w:r>
      <w:r>
        <w:rPr>
          <w:rFonts w:ascii="Arial" w:hAnsi="Arial" w:cs="Arial"/>
        </w:rPr>
        <w:t>e.</w:t>
      </w:r>
    </w:p>
    <w:p w14:paraId="0C8E41B7" w14:textId="12C97879" w:rsidR="00F3475D" w:rsidRPr="00F3475D" w:rsidRDefault="00F3475D" w:rsidP="00F3475D">
      <w:pPr>
        <w:rPr>
          <w:rFonts w:ascii="Arial" w:hAnsi="Arial" w:cs="Arial"/>
          <w:b/>
          <w:bCs/>
        </w:rPr>
      </w:pPr>
      <w:r w:rsidRPr="00F3475D">
        <w:rPr>
          <w:rFonts w:ascii="Arial" w:hAnsi="Arial" w:cs="Arial"/>
          <w:b/>
          <w:bCs/>
        </w:rPr>
        <w:t xml:space="preserve">Removing </w:t>
      </w:r>
      <w:r w:rsidR="008C075E">
        <w:rPr>
          <w:rFonts w:ascii="Arial" w:hAnsi="Arial" w:cs="Arial"/>
          <w:b/>
          <w:bCs/>
        </w:rPr>
        <w:t>ring-fencing</w:t>
      </w:r>
      <w:r w:rsidRPr="00F3475D">
        <w:rPr>
          <w:rFonts w:ascii="Arial" w:hAnsi="Arial" w:cs="Arial"/>
          <w:b/>
          <w:bCs/>
        </w:rPr>
        <w:t xml:space="preserve"> creates risks for adult social care funding</w:t>
      </w:r>
    </w:p>
    <w:p w14:paraId="487BC2A7" w14:textId="4E64F9A1" w:rsidR="00F3475D" w:rsidRPr="00F3475D" w:rsidRDefault="00F3475D" w:rsidP="00F3475D">
      <w:pPr>
        <w:rPr>
          <w:rFonts w:ascii="Arial" w:hAnsi="Arial" w:cs="Arial"/>
        </w:rPr>
      </w:pPr>
      <w:r w:rsidRPr="00F3475D">
        <w:rPr>
          <w:rFonts w:ascii="Arial" w:hAnsi="Arial" w:cs="Arial"/>
        </w:rPr>
        <w:t xml:space="preserve">The </w:t>
      </w:r>
      <w:r>
        <w:rPr>
          <w:rFonts w:ascii="Arial" w:hAnsi="Arial" w:cs="Arial"/>
        </w:rPr>
        <w:t>g</w:t>
      </w:r>
      <w:r w:rsidRPr="00F3475D">
        <w:rPr>
          <w:rFonts w:ascii="Arial" w:hAnsi="Arial" w:cs="Arial"/>
        </w:rPr>
        <w:t xml:space="preserve">overnment </w:t>
      </w:r>
      <w:r w:rsidR="008C075E">
        <w:rPr>
          <w:rFonts w:ascii="Arial" w:hAnsi="Arial" w:cs="Arial"/>
        </w:rPr>
        <w:t>has consolidated</w:t>
      </w:r>
      <w:r w:rsidRPr="00F3475D">
        <w:rPr>
          <w:rFonts w:ascii="Arial" w:hAnsi="Arial" w:cs="Arial"/>
        </w:rPr>
        <w:t xml:space="preserve"> previously ringfenced adult social care grants into the Revenue Support Grant. While we recognise the intention to simplify funding streams, this decision removes vital protections for adult social care.</w:t>
      </w:r>
    </w:p>
    <w:p w14:paraId="4CB9AE51" w14:textId="6222CE33" w:rsidR="003071E5" w:rsidRDefault="003071E5" w:rsidP="003071E5">
      <w:pPr>
        <w:rPr>
          <w:rFonts w:ascii="Arial" w:hAnsi="Arial" w:cs="Arial"/>
        </w:rPr>
      </w:pPr>
      <w:r w:rsidRPr="003071E5">
        <w:rPr>
          <w:rFonts w:ascii="Arial" w:hAnsi="Arial" w:cs="Arial"/>
        </w:rPr>
        <w:t xml:space="preserve">The Market Sustainability and Improvement Fund followed the Fair Cost of Care exercise, which showed councils paid prices below reasonable delivery costs. Despite this fund, the gap between actual fee rates and the </w:t>
      </w:r>
      <w:r w:rsidR="00F90EC8">
        <w:rPr>
          <w:rFonts w:ascii="Arial" w:hAnsi="Arial" w:cs="Arial"/>
        </w:rPr>
        <w:t xml:space="preserve">amount required to operate </w:t>
      </w:r>
      <w:r w:rsidR="00B433EB">
        <w:rPr>
          <w:rFonts w:ascii="Arial" w:hAnsi="Arial" w:cs="Arial"/>
        </w:rPr>
        <w:t xml:space="preserve">sustainably </w:t>
      </w:r>
      <w:r w:rsidR="00F63C32">
        <w:rPr>
          <w:rFonts w:ascii="Arial" w:hAnsi="Arial" w:cs="Arial"/>
        </w:rPr>
        <w:t>increased significantly</w:t>
      </w:r>
      <w:r w:rsidR="00F90EC8">
        <w:rPr>
          <w:rFonts w:ascii="Arial" w:hAnsi="Arial" w:cs="Arial"/>
        </w:rPr>
        <w:t xml:space="preserve"> in 2025</w:t>
      </w:r>
      <w:r w:rsidR="006650DC">
        <w:rPr>
          <w:rFonts w:ascii="Arial" w:hAnsi="Arial" w:cs="Arial"/>
        </w:rPr>
        <w:t xml:space="preserve">-26 </w:t>
      </w:r>
      <w:r w:rsidR="00F63C32">
        <w:rPr>
          <w:rFonts w:ascii="Arial" w:hAnsi="Arial" w:cs="Arial"/>
        </w:rPr>
        <w:t>because of unfunded</w:t>
      </w:r>
      <w:r w:rsidR="006650DC">
        <w:rPr>
          <w:rFonts w:ascii="Arial" w:hAnsi="Arial" w:cs="Arial"/>
        </w:rPr>
        <w:t xml:space="preserve"> </w:t>
      </w:r>
      <w:r w:rsidR="00F63C32">
        <w:rPr>
          <w:rFonts w:ascii="Arial" w:hAnsi="Arial" w:cs="Arial"/>
        </w:rPr>
        <w:t>employer</w:t>
      </w:r>
      <w:r w:rsidR="006650DC">
        <w:rPr>
          <w:rFonts w:ascii="Arial" w:hAnsi="Arial" w:cs="Arial"/>
        </w:rPr>
        <w:t xml:space="preserve"> National Insurance Contribution costs. </w:t>
      </w:r>
    </w:p>
    <w:p w14:paraId="4BC510EF" w14:textId="2B0DD539" w:rsidR="003071E5" w:rsidRPr="003071E5" w:rsidRDefault="003071E5" w:rsidP="003071E5">
      <w:pPr>
        <w:rPr>
          <w:rFonts w:ascii="Arial" w:hAnsi="Arial" w:cs="Arial"/>
        </w:rPr>
      </w:pPr>
      <w:r w:rsidRPr="003071E5">
        <w:rPr>
          <w:rFonts w:ascii="Arial" w:hAnsi="Arial" w:cs="Arial"/>
        </w:rPr>
        <w:t>Historical experience reinforces this risk. During the COVID-19 pandemic, councils received large amounts of unringfenced funding. Many providers saw little or no improvement in fee rates or commissioned volumes, despite £3.2 billion of additional funding to support vulnerable people. This experience damaged provider confidence that discretionary local decision-making will protect frontline care.</w:t>
      </w:r>
    </w:p>
    <w:p w14:paraId="50A15494" w14:textId="2827BBD3" w:rsidR="00AD0CF0" w:rsidRPr="003071E5" w:rsidRDefault="00AD0CF0" w:rsidP="003071E5">
      <w:pPr>
        <w:rPr>
          <w:rFonts w:ascii="Arial" w:hAnsi="Arial" w:cs="Arial"/>
        </w:rPr>
      </w:pPr>
      <w:r w:rsidRPr="00AD0CF0">
        <w:rPr>
          <w:rFonts w:ascii="Arial" w:hAnsi="Arial" w:cs="Arial"/>
        </w:rPr>
        <w:t>This represents not only a funding risk, but a governance risk. Where adult social care funding is discretionary, there is no effective mechanism to prevent councils from using it to manage wider financial pressures, even when this directly undermines statutory care provision.</w:t>
      </w:r>
    </w:p>
    <w:p w14:paraId="622784C7" w14:textId="0E68707E" w:rsidR="003071E5" w:rsidRPr="003071E5" w:rsidRDefault="003071E5" w:rsidP="003071E5">
      <w:pPr>
        <w:rPr>
          <w:rFonts w:ascii="Arial" w:hAnsi="Arial" w:cs="Arial"/>
        </w:rPr>
      </w:pPr>
      <w:r w:rsidRPr="003071E5">
        <w:rPr>
          <w:rFonts w:ascii="Arial" w:hAnsi="Arial" w:cs="Arial"/>
        </w:rPr>
        <w:lastRenderedPageBreak/>
        <w:t xml:space="preserve">The proposed notional allocation system does not address this risk. Monitoring whether councils align spending with indicative allocations does not ensure funding reaches providers, improves fee rates or supports workforce pay. Without enforceable conditions linked to commissioning practice, the removal of </w:t>
      </w:r>
      <w:r w:rsidR="008C075E">
        <w:rPr>
          <w:rFonts w:ascii="Arial" w:hAnsi="Arial" w:cs="Arial"/>
        </w:rPr>
        <w:t>ring-fencing</w:t>
      </w:r>
      <w:r w:rsidRPr="003071E5">
        <w:rPr>
          <w:rFonts w:ascii="Arial" w:hAnsi="Arial" w:cs="Arial"/>
        </w:rPr>
        <w:t xml:space="preserve"> risks repeating well-evidenced failure.</w:t>
      </w:r>
    </w:p>
    <w:p w14:paraId="33FF1E0D" w14:textId="5AA6489C" w:rsidR="005D7D7E" w:rsidRDefault="001B20F7" w:rsidP="002E6B4F">
      <w:pPr>
        <w:rPr>
          <w:rFonts w:ascii="Arial" w:hAnsi="Arial" w:cs="Arial"/>
        </w:rPr>
      </w:pPr>
      <w:r w:rsidRPr="001B20F7">
        <w:rPr>
          <w:rFonts w:ascii="Arial" w:hAnsi="Arial" w:cs="Arial"/>
        </w:rPr>
        <w:t>For this reason, we propose the introduction of a legally enforceable National Contract for Homecare Services</w:t>
      </w:r>
      <w:r w:rsidR="005D7D7E" w:rsidRPr="005D7D7E">
        <w:rPr>
          <w:rFonts w:ascii="Arial" w:hAnsi="Arial" w:cs="Arial"/>
        </w:rPr>
        <w:t xml:space="preserve"> that sets a minimum fee rate for purchasing homecare. </w:t>
      </w:r>
      <w:r w:rsidR="00846682" w:rsidRPr="00846682">
        <w:rPr>
          <w:rFonts w:ascii="Arial" w:hAnsi="Arial" w:cs="Arial"/>
        </w:rPr>
        <w:t>This would not remove local flexibility, but would set a statutory floor below which commissioning cannot fall, analogous to minimum employment protections in the labour market.</w:t>
      </w:r>
      <w:r w:rsidR="00846682">
        <w:rPr>
          <w:rFonts w:ascii="Arial" w:hAnsi="Arial" w:cs="Arial"/>
        </w:rPr>
        <w:t xml:space="preserve"> </w:t>
      </w:r>
      <w:r w:rsidR="005D7D7E" w:rsidRPr="005D7D7E">
        <w:rPr>
          <w:rFonts w:ascii="Arial" w:hAnsi="Arial" w:cs="Arial"/>
        </w:rPr>
        <w:t xml:space="preserve">This would mirror workers’ statutory rights to a minimum wage and give providers a clear mechanism to challenge unsustainably low fee rates. A minimum fee floor would ensure providers receive funding that enables compliance with legal requirements on pay, sick pay, travel time and other employment conditions, rather than forcing them to absorb unfunded policy changes. </w:t>
      </w:r>
    </w:p>
    <w:p w14:paraId="604D874F" w14:textId="3924703E" w:rsidR="005D7D7E" w:rsidRDefault="005D7D7E" w:rsidP="002E6B4F">
      <w:pPr>
        <w:rPr>
          <w:rFonts w:ascii="Arial" w:hAnsi="Arial" w:cs="Arial"/>
        </w:rPr>
      </w:pPr>
      <w:r w:rsidRPr="005D7D7E">
        <w:rPr>
          <w:rFonts w:ascii="Arial" w:hAnsi="Arial" w:cs="Arial"/>
        </w:rPr>
        <w:t xml:space="preserve">This type of guarantee proves essential if </w:t>
      </w:r>
      <w:r w:rsidR="00F06AB5">
        <w:rPr>
          <w:rFonts w:ascii="Arial" w:hAnsi="Arial" w:cs="Arial"/>
        </w:rPr>
        <w:t>the g</w:t>
      </w:r>
      <w:r w:rsidRPr="005D7D7E">
        <w:rPr>
          <w:rFonts w:ascii="Arial" w:hAnsi="Arial" w:cs="Arial"/>
        </w:rPr>
        <w:t>overnment expects employers to comply with the Fair Pay Agreement, the Employment Rights Act and wider workforce reform. By contrast, the Department of Health and Social Care’s Adult Social Care Priorities rely on guidance and monitoring alone and offer little practical protection for providers or assurance that funding intended for care will reach the frontline.</w:t>
      </w:r>
    </w:p>
    <w:p w14:paraId="19E8247C" w14:textId="3CBE0188" w:rsidR="002E6B4F" w:rsidRPr="002E6B4F" w:rsidRDefault="002E6B4F" w:rsidP="002E6B4F">
      <w:pPr>
        <w:rPr>
          <w:rFonts w:ascii="Arial" w:hAnsi="Arial" w:cs="Arial"/>
          <w:b/>
          <w:bCs/>
        </w:rPr>
      </w:pPr>
      <w:r w:rsidRPr="002E6B4F">
        <w:rPr>
          <w:rFonts w:ascii="Arial" w:hAnsi="Arial" w:cs="Arial"/>
          <w:b/>
          <w:bCs/>
        </w:rPr>
        <w:t>Fair Funding must reflect the real cost of delivering homecare</w:t>
      </w:r>
    </w:p>
    <w:p w14:paraId="095A9255" w14:textId="11C0D631" w:rsidR="002E6B4F" w:rsidRDefault="002E6B4F" w:rsidP="002E6B4F">
      <w:pPr>
        <w:rPr>
          <w:rFonts w:ascii="Arial" w:hAnsi="Arial" w:cs="Arial"/>
        </w:rPr>
      </w:pPr>
      <w:r w:rsidRPr="002E6B4F">
        <w:rPr>
          <w:rFonts w:ascii="Arial" w:hAnsi="Arial" w:cs="Arial"/>
        </w:rPr>
        <w:t xml:space="preserve">Our Homecare Deficit 2025 analysis shows that no UK nation or region funds homecare at, or above, the Homecare Association’s Minimum Price for Homecare. Only one public organisation in the entire UK met this threshold in 2025. </w:t>
      </w:r>
    </w:p>
    <w:p w14:paraId="45EEE8C5" w14:textId="1D19FF0F" w:rsidR="002E6B4F" w:rsidRPr="002E6B4F" w:rsidRDefault="002E6B4F" w:rsidP="002E6B4F">
      <w:pPr>
        <w:rPr>
          <w:rFonts w:ascii="Arial" w:hAnsi="Arial" w:cs="Arial"/>
        </w:rPr>
      </w:pPr>
      <w:r w:rsidRPr="002E6B4F">
        <w:rPr>
          <w:rFonts w:ascii="Arial" w:hAnsi="Arial" w:cs="Arial"/>
        </w:rPr>
        <w:t>This outcome does not reflect marginal shortfalls. It reflects systemic underfunding that prevents compliance with employment and care regulations. Without explicit recognition of workforce costs, travel time, and operational requirements, the Fair Funding Allocation will continue to enable commissioning at unsustainable rates.</w:t>
      </w:r>
    </w:p>
    <w:p w14:paraId="7B304539" w14:textId="1FB9A14C" w:rsidR="00214A2D" w:rsidRPr="00214A2D" w:rsidRDefault="00214A2D" w:rsidP="00214A2D">
      <w:pPr>
        <w:rPr>
          <w:rFonts w:ascii="Arial" w:hAnsi="Arial" w:cs="Arial"/>
          <w:b/>
          <w:bCs/>
        </w:rPr>
      </w:pPr>
      <w:r w:rsidRPr="00214A2D">
        <w:rPr>
          <w:rFonts w:ascii="Arial" w:hAnsi="Arial" w:cs="Arial"/>
          <w:b/>
          <w:bCs/>
        </w:rPr>
        <w:t xml:space="preserve">Regional redistribution must not entrench existing commissioning </w:t>
      </w:r>
      <w:r w:rsidR="008C075E">
        <w:rPr>
          <w:rFonts w:ascii="Arial" w:hAnsi="Arial" w:cs="Arial"/>
          <w:b/>
          <w:bCs/>
        </w:rPr>
        <w:t>failures</w:t>
      </w:r>
    </w:p>
    <w:p w14:paraId="559C2C0F" w14:textId="3071C108" w:rsidR="00400764" w:rsidRPr="00400764" w:rsidRDefault="00400764" w:rsidP="00400764">
      <w:pPr>
        <w:rPr>
          <w:rFonts w:ascii="Arial" w:hAnsi="Arial" w:cs="Arial"/>
        </w:rPr>
      </w:pPr>
      <w:r w:rsidRPr="00400764">
        <w:rPr>
          <w:rFonts w:ascii="Arial" w:hAnsi="Arial" w:cs="Arial"/>
        </w:rPr>
        <w:t xml:space="preserve">We support funding that reflects </w:t>
      </w:r>
      <w:r w:rsidR="008C075E">
        <w:rPr>
          <w:rFonts w:ascii="Arial" w:hAnsi="Arial" w:cs="Arial"/>
        </w:rPr>
        <w:t>deprivation</w:t>
      </w:r>
      <w:r w:rsidRPr="00400764">
        <w:rPr>
          <w:rFonts w:ascii="Arial" w:hAnsi="Arial" w:cs="Arial"/>
        </w:rPr>
        <w:t xml:space="preserve"> and complexity of need. However, the updated Relative Needs Formula is expected to reduce the funding share for </w:t>
      </w:r>
      <w:r w:rsidR="00D238A0">
        <w:rPr>
          <w:rFonts w:ascii="Arial" w:hAnsi="Arial" w:cs="Arial"/>
        </w:rPr>
        <w:t xml:space="preserve">many </w:t>
      </w:r>
      <w:r w:rsidRPr="00400764">
        <w:rPr>
          <w:rFonts w:ascii="Arial" w:hAnsi="Arial" w:cs="Arial"/>
        </w:rPr>
        <w:t>London boroughs.</w:t>
      </w:r>
    </w:p>
    <w:p w14:paraId="66B3AF15" w14:textId="58611AC9" w:rsidR="00400764" w:rsidRDefault="00400764" w:rsidP="00400764">
      <w:pPr>
        <w:rPr>
          <w:rFonts w:ascii="Arial" w:hAnsi="Arial" w:cs="Arial"/>
        </w:rPr>
      </w:pPr>
      <w:r w:rsidRPr="00400764">
        <w:rPr>
          <w:rFonts w:ascii="Arial" w:hAnsi="Arial" w:cs="Arial"/>
        </w:rPr>
        <w:t>This poses a serious risk. Evidence shows that London already pays some of the lowest homecare fee rates in England, despite the highest labour and living costs. The average London rate does not cover direct employment costs at the statutory minimum wage</w:t>
      </w:r>
      <w:r w:rsidR="00385967">
        <w:rPr>
          <w:rFonts w:ascii="Arial" w:hAnsi="Arial" w:cs="Arial"/>
        </w:rPr>
        <w:t>:</w:t>
      </w:r>
      <w:r w:rsidRPr="00400764">
        <w:rPr>
          <w:rFonts w:ascii="Arial" w:hAnsi="Arial" w:cs="Arial"/>
        </w:rPr>
        <w:t xml:space="preserve"> 59% of London boroughs pay below careworker costs</w:t>
      </w:r>
      <w:r>
        <w:rPr>
          <w:rFonts w:ascii="Arial" w:hAnsi="Arial" w:cs="Arial"/>
        </w:rPr>
        <w:t>.</w:t>
      </w:r>
    </w:p>
    <w:p w14:paraId="121AE2B2" w14:textId="2DBE5C7B" w:rsidR="00400764" w:rsidRPr="00400764" w:rsidRDefault="00400764" w:rsidP="00400764">
      <w:pPr>
        <w:rPr>
          <w:rFonts w:ascii="Arial" w:hAnsi="Arial" w:cs="Arial"/>
        </w:rPr>
      </w:pPr>
      <w:r w:rsidRPr="00400764">
        <w:rPr>
          <w:rFonts w:ascii="Arial" w:hAnsi="Arial" w:cs="Arial"/>
        </w:rPr>
        <w:lastRenderedPageBreak/>
        <w:t xml:space="preserve">This is not the result of efficient markets. It reflects structural underpayment. Any </w:t>
      </w:r>
      <w:r w:rsidR="00E40E5B">
        <w:rPr>
          <w:rFonts w:ascii="Arial" w:hAnsi="Arial" w:cs="Arial"/>
        </w:rPr>
        <w:t>relative</w:t>
      </w:r>
      <w:r w:rsidRPr="00400764">
        <w:rPr>
          <w:rFonts w:ascii="Arial" w:hAnsi="Arial" w:cs="Arial"/>
        </w:rPr>
        <w:t xml:space="preserve"> reduction in London’s social care allocation, even when phased, risks worsening an already unsustainable position unless </w:t>
      </w:r>
      <w:r w:rsidR="008C075E">
        <w:rPr>
          <w:rFonts w:ascii="Arial" w:hAnsi="Arial" w:cs="Arial"/>
        </w:rPr>
        <w:t>the government</w:t>
      </w:r>
      <w:r w:rsidRPr="00400764">
        <w:rPr>
          <w:rFonts w:ascii="Arial" w:hAnsi="Arial" w:cs="Arial"/>
        </w:rPr>
        <w:t xml:space="preserve"> intervenes to ensure fee rates cover delivery costs.</w:t>
      </w:r>
    </w:p>
    <w:p w14:paraId="0C8CB6CE" w14:textId="5CF6B473" w:rsidR="00BD5534" w:rsidRPr="00400764" w:rsidRDefault="00BD5534" w:rsidP="00400764">
      <w:pPr>
        <w:rPr>
          <w:rFonts w:ascii="Arial" w:hAnsi="Arial" w:cs="Arial"/>
        </w:rPr>
      </w:pPr>
      <w:r w:rsidRPr="00BD5534">
        <w:rPr>
          <w:rFonts w:ascii="Arial" w:hAnsi="Arial" w:cs="Arial"/>
        </w:rPr>
        <w:t>Without corrective action, this risks entrenching unlawful commissioning practices in high-cost areas and exacerbating inequalities in access to care, contrary to the Public Sector Equality Duty.</w:t>
      </w:r>
    </w:p>
    <w:p w14:paraId="679AF02F" w14:textId="77777777" w:rsidR="00F27685" w:rsidRPr="00F27685" w:rsidRDefault="00F27685" w:rsidP="00F27685">
      <w:pPr>
        <w:rPr>
          <w:rFonts w:ascii="Arial" w:hAnsi="Arial" w:cs="Arial"/>
          <w:b/>
          <w:bCs/>
        </w:rPr>
      </w:pPr>
      <w:r w:rsidRPr="00F27685">
        <w:rPr>
          <w:rFonts w:ascii="Arial" w:hAnsi="Arial" w:cs="Arial"/>
          <w:b/>
          <w:bCs/>
        </w:rPr>
        <w:t>The Fair Pay Agreement requires protected and transparent funding</w:t>
      </w:r>
    </w:p>
    <w:p w14:paraId="3DFD2C84" w14:textId="77777777" w:rsidR="00F27685" w:rsidRPr="00F27685" w:rsidRDefault="00F27685" w:rsidP="00F27685">
      <w:pPr>
        <w:rPr>
          <w:rFonts w:ascii="Arial" w:hAnsi="Arial" w:cs="Arial"/>
        </w:rPr>
      </w:pPr>
      <w:r w:rsidRPr="00F27685">
        <w:rPr>
          <w:rFonts w:ascii="Arial" w:hAnsi="Arial" w:cs="Arial"/>
        </w:rPr>
        <w:t>The allocation of £500 million for the Fair Pay Agreement by 2028–29 represents a critical test of funding credibility.</w:t>
      </w:r>
    </w:p>
    <w:p w14:paraId="545124F2" w14:textId="77777777" w:rsidR="00F27685" w:rsidRDefault="00F27685" w:rsidP="00F27685">
      <w:pPr>
        <w:rPr>
          <w:rFonts w:ascii="Arial" w:hAnsi="Arial" w:cs="Arial"/>
        </w:rPr>
      </w:pPr>
      <w:r w:rsidRPr="00F27685">
        <w:rPr>
          <w:rFonts w:ascii="Arial" w:hAnsi="Arial" w:cs="Arial"/>
        </w:rPr>
        <w:t>Our evidence shows that the UK faces a £3.25 billion funding gap in homecare in 2025–26 to pay careworkers at NHS Band 3 rates and ensure provider sustainability. £2.64 billion of this gap sits in England alone</w:t>
      </w:r>
      <w:r>
        <w:rPr>
          <w:rFonts w:ascii="Arial" w:hAnsi="Arial" w:cs="Arial"/>
        </w:rPr>
        <w:t xml:space="preserve">. </w:t>
      </w:r>
    </w:p>
    <w:p w14:paraId="3B723DF1" w14:textId="28BF0857" w:rsidR="005004BD" w:rsidRDefault="005004BD" w:rsidP="00F27685">
      <w:pPr>
        <w:rPr>
          <w:rFonts w:ascii="Arial" w:hAnsi="Arial" w:cs="Arial"/>
        </w:rPr>
      </w:pPr>
      <w:r w:rsidRPr="005004BD">
        <w:rPr>
          <w:rFonts w:ascii="Arial" w:hAnsi="Arial" w:cs="Arial"/>
        </w:rPr>
        <w:t>However, funding levels alone will not deliver fair pay or guaranteed hours. Commissioning practice plays a decisive role. Fragmented purchasing through frameworks and dynamic systems splits hours across too many providers, undermines rota planning, reduces guaranteed income and makes compliance with employment reform unworkable</w:t>
      </w:r>
      <w:r>
        <w:rPr>
          <w:rFonts w:ascii="Arial" w:hAnsi="Arial" w:cs="Arial"/>
        </w:rPr>
        <w:t>.</w:t>
      </w:r>
    </w:p>
    <w:p w14:paraId="4720087D" w14:textId="1B0E1AC7" w:rsidR="005004BD" w:rsidRDefault="005004BD" w:rsidP="00F27685">
      <w:pPr>
        <w:rPr>
          <w:rFonts w:ascii="Arial" w:hAnsi="Arial" w:cs="Arial"/>
        </w:rPr>
      </w:pPr>
      <w:r w:rsidRPr="005004BD">
        <w:rPr>
          <w:rFonts w:ascii="Arial" w:hAnsi="Arial" w:cs="Arial"/>
        </w:rPr>
        <w:t>Route optimisation evidence shows that place-based commissioning can reduce mileage by 65%, reduce workforce requirements by 35% and improve pay, retention and wellbeing. Fair Funding must enable and incentivise these models, not reinforce fragmentation.</w:t>
      </w:r>
    </w:p>
    <w:p w14:paraId="398588F9" w14:textId="180D29BC" w:rsidR="00F27685" w:rsidRPr="00F27685" w:rsidRDefault="00F27685" w:rsidP="00F27685">
      <w:pPr>
        <w:rPr>
          <w:rFonts w:ascii="Arial" w:hAnsi="Arial" w:cs="Arial"/>
        </w:rPr>
      </w:pPr>
      <w:r w:rsidRPr="00F27685">
        <w:rPr>
          <w:rFonts w:ascii="Arial" w:hAnsi="Arial" w:cs="Arial"/>
        </w:rPr>
        <w:t xml:space="preserve">If Fair Pay Agreement funding sits within unringfenced allocations without enforceable links to fee-setting, providers will face unfunded obligations. This would undermine confidence in the Fair Pay Agreement and accelerate </w:t>
      </w:r>
      <w:r w:rsidR="005D65DA">
        <w:rPr>
          <w:rFonts w:ascii="Arial" w:hAnsi="Arial" w:cs="Arial"/>
        </w:rPr>
        <w:t xml:space="preserve">non-compliance and </w:t>
      </w:r>
      <w:r w:rsidRPr="00F27685">
        <w:rPr>
          <w:rFonts w:ascii="Arial" w:hAnsi="Arial" w:cs="Arial"/>
        </w:rPr>
        <w:t>provider exit from the market.</w:t>
      </w:r>
    </w:p>
    <w:p w14:paraId="52E47D2A" w14:textId="4466FFFF" w:rsidR="00F27685" w:rsidRPr="00F27685" w:rsidRDefault="00F27685" w:rsidP="00F27685">
      <w:pPr>
        <w:rPr>
          <w:rFonts w:ascii="Arial" w:hAnsi="Arial" w:cs="Arial"/>
        </w:rPr>
      </w:pPr>
      <w:r w:rsidRPr="00F27685">
        <w:rPr>
          <w:rFonts w:ascii="Arial" w:hAnsi="Arial" w:cs="Arial"/>
        </w:rPr>
        <w:t xml:space="preserve">National pay reform requires national funding discipline. The </w:t>
      </w:r>
      <w:r w:rsidR="00240FBF">
        <w:rPr>
          <w:rFonts w:ascii="Arial" w:hAnsi="Arial" w:cs="Arial"/>
        </w:rPr>
        <w:t>g</w:t>
      </w:r>
      <w:r w:rsidRPr="00F27685">
        <w:rPr>
          <w:rFonts w:ascii="Arial" w:hAnsi="Arial" w:cs="Arial"/>
        </w:rPr>
        <w:t>overnment must ensure that funding reaches providers through commissioning rates.</w:t>
      </w:r>
    </w:p>
    <w:p w14:paraId="2DC8A084" w14:textId="1C21E7C4" w:rsidR="00B720A0" w:rsidRPr="00F27685" w:rsidRDefault="00B720A0" w:rsidP="00F27685">
      <w:pPr>
        <w:rPr>
          <w:rFonts w:ascii="Arial" w:hAnsi="Arial" w:cs="Arial"/>
        </w:rPr>
      </w:pPr>
      <w:r w:rsidRPr="00B720A0">
        <w:rPr>
          <w:rFonts w:ascii="Arial" w:hAnsi="Arial" w:cs="Arial"/>
        </w:rPr>
        <w:t>If providers are expected to implement Fair Pay Agreement outcomes without guaranteed funding through commissioning rates, the likely result will be increased non-compliance, workforce churn, and market exit, rather than improved pay and conditions.</w:t>
      </w:r>
    </w:p>
    <w:p w14:paraId="262F2D52" w14:textId="4FDD781B" w:rsidR="008B5DB3" w:rsidRPr="008B5DB3" w:rsidRDefault="008C075E" w:rsidP="008B5DB3">
      <w:pPr>
        <w:rPr>
          <w:rFonts w:ascii="Arial" w:hAnsi="Arial" w:cs="Arial"/>
          <w:b/>
          <w:bCs/>
        </w:rPr>
      </w:pPr>
      <w:r>
        <w:rPr>
          <w:rFonts w:ascii="Arial" w:hAnsi="Arial" w:cs="Arial"/>
          <w:b/>
          <w:bCs/>
        </w:rPr>
        <w:t>Under-funded</w:t>
      </w:r>
      <w:r w:rsidR="008B5DB3" w:rsidRPr="008B5DB3">
        <w:rPr>
          <w:rFonts w:ascii="Arial" w:hAnsi="Arial" w:cs="Arial"/>
          <w:b/>
          <w:bCs/>
        </w:rPr>
        <w:t xml:space="preserve"> homecare increases NHS costs and undermines system reform</w:t>
      </w:r>
    </w:p>
    <w:p w14:paraId="7AEA732F" w14:textId="77777777" w:rsidR="008B5DB3" w:rsidRPr="008B5DB3" w:rsidRDefault="008B5DB3" w:rsidP="008B5DB3">
      <w:pPr>
        <w:rPr>
          <w:rFonts w:ascii="Arial" w:hAnsi="Arial" w:cs="Arial"/>
        </w:rPr>
      </w:pPr>
      <w:r w:rsidRPr="008B5DB3">
        <w:rPr>
          <w:rFonts w:ascii="Arial" w:hAnsi="Arial" w:cs="Arial"/>
        </w:rPr>
        <w:lastRenderedPageBreak/>
        <w:t>Underfunding homecare does not save public money. It shifts costs elsewhere in the system.</w:t>
      </w:r>
    </w:p>
    <w:p w14:paraId="3CD20730" w14:textId="204D7BB8" w:rsidR="008B5DB3" w:rsidRDefault="009A4F94" w:rsidP="008B5DB3">
      <w:pPr>
        <w:rPr>
          <w:rFonts w:ascii="Arial" w:hAnsi="Arial" w:cs="Arial"/>
        </w:rPr>
      </w:pPr>
      <w:r>
        <w:rPr>
          <w:rFonts w:ascii="Arial" w:hAnsi="Arial" w:cs="Arial"/>
        </w:rPr>
        <w:t>E</w:t>
      </w:r>
      <w:r w:rsidR="008B5DB3" w:rsidRPr="008B5DB3">
        <w:rPr>
          <w:rFonts w:ascii="Arial" w:hAnsi="Arial" w:cs="Arial"/>
        </w:rPr>
        <w:t>vidence shows that 42% of hospital patients wait for services provided mainly through social care, while each occupied hospital bed costs the NHS around £400 per night. Commissioners struggle to fund homecare at £</w:t>
      </w:r>
      <w:r w:rsidR="005F49D0">
        <w:rPr>
          <w:rFonts w:ascii="Arial" w:hAnsi="Arial" w:cs="Arial"/>
        </w:rPr>
        <w:t>32.14</w:t>
      </w:r>
      <w:r w:rsidR="008B5DB3" w:rsidRPr="008B5DB3">
        <w:rPr>
          <w:rFonts w:ascii="Arial" w:hAnsi="Arial" w:cs="Arial"/>
        </w:rPr>
        <w:t xml:space="preserve"> per hour, despite the clear cost-benefit of doing so</w:t>
      </w:r>
      <w:r w:rsidR="008B5DB3">
        <w:rPr>
          <w:rFonts w:ascii="Arial" w:hAnsi="Arial" w:cs="Arial"/>
        </w:rPr>
        <w:t xml:space="preserve">. </w:t>
      </w:r>
    </w:p>
    <w:p w14:paraId="0AE55EA3" w14:textId="29142EC6" w:rsidR="00691108" w:rsidRPr="00021D89" w:rsidRDefault="008B5DB3" w:rsidP="004A2725">
      <w:pPr>
        <w:rPr>
          <w:rFonts w:ascii="Arial" w:hAnsi="Arial" w:cs="Arial"/>
        </w:rPr>
      </w:pPr>
      <w:r w:rsidRPr="008B5DB3">
        <w:rPr>
          <w:rFonts w:ascii="Arial" w:hAnsi="Arial" w:cs="Arial"/>
        </w:rPr>
        <w:t>NHS bodies now pay lower average rates for homecare than councils, despite funding more complex care needs. This reverses the logic of prevention and undermines the Government’s ambition to shift care into the community.</w:t>
      </w:r>
    </w:p>
    <w:p w14:paraId="10AE962D" w14:textId="77777777" w:rsidR="004A2725" w:rsidRPr="00EE31C6" w:rsidRDefault="004A2725" w:rsidP="004A2725">
      <w:pPr>
        <w:rPr>
          <w:rFonts w:ascii="Arial" w:hAnsi="Arial" w:cs="Arial"/>
          <w:b/>
        </w:rPr>
      </w:pPr>
      <w:r w:rsidRPr="00EE31C6">
        <w:rPr>
          <w:rFonts w:ascii="Arial" w:hAnsi="Arial" w:cs="Arial"/>
          <w:b/>
        </w:rPr>
        <w:t>2. Do you agree or disagree with the government’s proposed transitional arrangements?</w:t>
      </w:r>
    </w:p>
    <w:p w14:paraId="2AE6905D" w14:textId="5E6AF6D7" w:rsidR="00021D89" w:rsidRPr="005C45DD" w:rsidRDefault="004A2725" w:rsidP="00021D89">
      <w:pPr>
        <w:pStyle w:val="ListParagraph"/>
        <w:numPr>
          <w:ilvl w:val="0"/>
          <w:numId w:val="3"/>
        </w:numPr>
        <w:rPr>
          <w:rFonts w:ascii="Arial" w:hAnsi="Arial" w:cs="Arial"/>
          <w:highlight w:val="yellow"/>
        </w:rPr>
      </w:pPr>
      <w:r w:rsidRPr="005C45DD">
        <w:rPr>
          <w:rFonts w:ascii="Arial" w:hAnsi="Arial" w:cs="Arial"/>
          <w:highlight w:val="yellow"/>
        </w:rPr>
        <w:t>Agree </w:t>
      </w:r>
    </w:p>
    <w:p w14:paraId="51F398EA" w14:textId="77777777" w:rsidR="00021D89" w:rsidRPr="00021D89" w:rsidRDefault="004A2725" w:rsidP="00021D89">
      <w:pPr>
        <w:pStyle w:val="ListParagraph"/>
        <w:numPr>
          <w:ilvl w:val="0"/>
          <w:numId w:val="3"/>
        </w:numPr>
        <w:rPr>
          <w:rFonts w:ascii="Arial" w:hAnsi="Arial" w:cs="Arial"/>
        </w:rPr>
      </w:pPr>
      <w:r w:rsidRPr="00021D89">
        <w:rPr>
          <w:rFonts w:ascii="Arial" w:hAnsi="Arial" w:cs="Arial"/>
        </w:rPr>
        <w:t>Neither agree nor disagree </w:t>
      </w:r>
    </w:p>
    <w:p w14:paraId="6F8330FA" w14:textId="77777777" w:rsidR="00021D89" w:rsidRPr="005C45DD" w:rsidRDefault="004A2725" w:rsidP="00021D89">
      <w:pPr>
        <w:pStyle w:val="ListParagraph"/>
        <w:numPr>
          <w:ilvl w:val="0"/>
          <w:numId w:val="3"/>
        </w:numPr>
        <w:rPr>
          <w:rFonts w:ascii="Arial" w:hAnsi="Arial" w:cs="Arial"/>
        </w:rPr>
      </w:pPr>
      <w:r w:rsidRPr="005C45DD">
        <w:rPr>
          <w:rFonts w:ascii="Arial" w:hAnsi="Arial" w:cs="Arial"/>
        </w:rPr>
        <w:t>Disagree </w:t>
      </w:r>
    </w:p>
    <w:p w14:paraId="14C3F299" w14:textId="60211082" w:rsidR="004A2725" w:rsidRPr="00021D89" w:rsidRDefault="004A2725" w:rsidP="00021D89">
      <w:pPr>
        <w:pStyle w:val="ListParagraph"/>
        <w:numPr>
          <w:ilvl w:val="0"/>
          <w:numId w:val="3"/>
        </w:numPr>
        <w:rPr>
          <w:rFonts w:ascii="Arial" w:hAnsi="Arial" w:cs="Arial"/>
        </w:rPr>
      </w:pPr>
      <w:r w:rsidRPr="00021D89">
        <w:rPr>
          <w:rFonts w:ascii="Arial" w:hAnsi="Arial" w:cs="Arial"/>
        </w:rPr>
        <w:t>No view</w:t>
      </w:r>
    </w:p>
    <w:p w14:paraId="3C3E9E8A" w14:textId="77777777" w:rsidR="004A2725" w:rsidRPr="00EE31C6" w:rsidRDefault="004A2725" w:rsidP="004A2725">
      <w:pPr>
        <w:rPr>
          <w:rFonts w:ascii="Arial" w:hAnsi="Arial" w:cs="Arial"/>
          <w:b/>
        </w:rPr>
      </w:pPr>
      <w:r w:rsidRPr="00EE31C6">
        <w:rPr>
          <w:rFonts w:ascii="Arial" w:hAnsi="Arial" w:cs="Arial"/>
          <w:b/>
          <w:highlight w:val="yellow"/>
        </w:rPr>
        <w:t>Please provide any additional information, including any explanation or evidence for your response.</w:t>
      </w:r>
    </w:p>
    <w:p w14:paraId="33E6E9BB" w14:textId="77777777" w:rsidR="005C45DD" w:rsidRPr="005C45DD" w:rsidRDefault="005C45DD" w:rsidP="005C45DD">
      <w:pPr>
        <w:rPr>
          <w:rFonts w:ascii="Arial" w:hAnsi="Arial" w:cs="Arial"/>
        </w:rPr>
      </w:pPr>
      <w:r w:rsidRPr="005C45DD">
        <w:rPr>
          <w:rFonts w:ascii="Arial" w:hAnsi="Arial" w:cs="Arial"/>
        </w:rPr>
        <w:t>We partially agree with the principle of transitional protection, but we do not agree that the proposed arrangements are sufficient or appropriately designed to protect adult social care and the homecare provider market.</w:t>
      </w:r>
    </w:p>
    <w:p w14:paraId="3CA18167" w14:textId="4A9D9E08" w:rsidR="005C45DD" w:rsidRPr="005C45DD" w:rsidRDefault="005C45DD" w:rsidP="005C45DD">
      <w:pPr>
        <w:rPr>
          <w:rFonts w:ascii="Arial" w:hAnsi="Arial" w:cs="Arial"/>
        </w:rPr>
      </w:pPr>
      <w:r w:rsidRPr="005C45DD">
        <w:rPr>
          <w:rFonts w:ascii="Arial" w:hAnsi="Arial" w:cs="Arial"/>
        </w:rPr>
        <w:t xml:space="preserve">The Government is right to recognise that changes arising from Fair Funding Review 2.0 and wider local government finance reform require transitional arrangements. Sudden funding shocks would destabilise councils and services. </w:t>
      </w:r>
      <w:r w:rsidR="00D90B69">
        <w:rPr>
          <w:rFonts w:ascii="Arial" w:hAnsi="Arial" w:cs="Arial"/>
        </w:rPr>
        <w:t>Phased</w:t>
      </w:r>
      <w:r w:rsidRPr="005C45DD">
        <w:rPr>
          <w:rFonts w:ascii="Arial" w:hAnsi="Arial" w:cs="Arial"/>
        </w:rPr>
        <w:t xml:space="preserve"> change over multiple years is therefore necessary.</w:t>
      </w:r>
    </w:p>
    <w:p w14:paraId="1AEE176C" w14:textId="77777777" w:rsidR="005C45DD" w:rsidRDefault="005C45DD" w:rsidP="005C45DD">
      <w:pPr>
        <w:rPr>
          <w:rFonts w:ascii="Arial" w:hAnsi="Arial" w:cs="Arial"/>
        </w:rPr>
      </w:pPr>
      <w:r w:rsidRPr="005C45DD">
        <w:rPr>
          <w:rFonts w:ascii="Arial" w:hAnsi="Arial" w:cs="Arial"/>
        </w:rPr>
        <w:t>However, the proposed transitional arrangements focus primarily on smoothing impacts for local authorities, rather than protecting service delivery, commissioning practice, or the sustainability of provider markets. Evidence from across England shows that adult social care, and homecare in particular, already operates below the cost of legal and sustainable delivery. Transitional arrangements that slow redistribution without addressing this baseline failure risk entrenching underfunding rather than managing change.</w:t>
      </w:r>
    </w:p>
    <w:p w14:paraId="03EEBA0D" w14:textId="5B6FCFAD" w:rsidR="004D4D41" w:rsidRDefault="004D4D41" w:rsidP="004A2725">
      <w:pPr>
        <w:rPr>
          <w:rFonts w:ascii="Arial" w:hAnsi="Arial" w:cs="Arial"/>
        </w:rPr>
      </w:pPr>
      <w:r w:rsidRPr="004D4D41">
        <w:rPr>
          <w:rFonts w:ascii="Arial" w:hAnsi="Arial" w:cs="Arial"/>
        </w:rPr>
        <w:t xml:space="preserve">Any transitional arrangements must do more than smooth changes in council income. They must actively protect adult social care funding during the transition period by linking protection to clear expectations on spending and commissioning practice, rather than relying solely on notional allocations. They must address </w:t>
      </w:r>
      <w:r w:rsidRPr="004D4D41">
        <w:rPr>
          <w:rFonts w:ascii="Arial" w:hAnsi="Arial" w:cs="Arial"/>
        </w:rPr>
        <w:lastRenderedPageBreak/>
        <w:t xml:space="preserve">existing underfunding, so that </w:t>
      </w:r>
      <w:r w:rsidR="00D90B69">
        <w:rPr>
          <w:rFonts w:ascii="Arial" w:hAnsi="Arial" w:cs="Arial"/>
        </w:rPr>
        <w:t>the transition</w:t>
      </w:r>
      <w:r w:rsidRPr="004D4D41">
        <w:rPr>
          <w:rFonts w:ascii="Arial" w:hAnsi="Arial" w:cs="Arial"/>
        </w:rPr>
        <w:t xml:space="preserve"> does not lock in fee rates that already sit below the cost of legal and sustainable delivery, particularly in areas with the lowest rates and highest labour costs. </w:t>
      </w:r>
    </w:p>
    <w:p w14:paraId="2F0E5A0A" w14:textId="7628526B" w:rsidR="005C45DD" w:rsidRPr="00021D89" w:rsidRDefault="004D4D41" w:rsidP="004A2725">
      <w:pPr>
        <w:rPr>
          <w:rFonts w:ascii="Arial" w:hAnsi="Arial" w:cs="Arial"/>
        </w:rPr>
      </w:pPr>
      <w:r w:rsidRPr="004D4D41">
        <w:rPr>
          <w:rFonts w:ascii="Arial" w:hAnsi="Arial" w:cs="Arial"/>
        </w:rPr>
        <w:t>Transitional arrangements must also align with workforce and commissioning reform, supporting movement towards models that enable guaranteed hours, workforce retention and compliance with employment reform, rather than reinforcing fragmented purchasing. Finally, they must include transparency and accountability, with clear information on how transitional protections affect adult social care funding locally and how councils use funding intended to support care delivery.</w:t>
      </w:r>
    </w:p>
    <w:p w14:paraId="7940A64F" w14:textId="06C53EFF" w:rsidR="00DD2807" w:rsidRPr="00021D89" w:rsidRDefault="00DD2807" w:rsidP="004A2725">
      <w:pPr>
        <w:rPr>
          <w:rFonts w:ascii="Arial" w:hAnsi="Arial" w:cs="Arial"/>
        </w:rPr>
      </w:pPr>
      <w:r w:rsidRPr="00DD2807">
        <w:rPr>
          <w:rFonts w:ascii="Arial" w:hAnsi="Arial" w:cs="Arial"/>
        </w:rPr>
        <w:t>Transitional arrangements should be assessed not only on their impact on council finances, but on whether they prevent further deterioration in adult social care markets. If fee rates remain below the cost of legal delivery throughout the transition period, the arrangements cannot be judged effective.</w:t>
      </w:r>
    </w:p>
    <w:p w14:paraId="4954EE7F" w14:textId="77777777" w:rsidR="004A2725" w:rsidRPr="00EE31C6" w:rsidRDefault="004A2725" w:rsidP="004A2725">
      <w:pPr>
        <w:rPr>
          <w:rFonts w:ascii="Arial" w:hAnsi="Arial" w:cs="Arial"/>
          <w:b/>
        </w:rPr>
      </w:pPr>
      <w:r w:rsidRPr="00EE31C6">
        <w:rPr>
          <w:rFonts w:ascii="Arial" w:hAnsi="Arial" w:cs="Arial"/>
          <w:b/>
        </w:rPr>
        <w:t>3. Do you agree or disagree with the proposed package of council tax referendum principles for 2026-27?</w:t>
      </w:r>
    </w:p>
    <w:p w14:paraId="6558FABE" w14:textId="7D370B13" w:rsidR="00021D89" w:rsidRPr="00021D89" w:rsidRDefault="004A2725" w:rsidP="00021D89">
      <w:pPr>
        <w:pStyle w:val="ListParagraph"/>
        <w:numPr>
          <w:ilvl w:val="0"/>
          <w:numId w:val="4"/>
        </w:numPr>
        <w:rPr>
          <w:rFonts w:ascii="Arial" w:hAnsi="Arial" w:cs="Arial"/>
        </w:rPr>
      </w:pPr>
      <w:r w:rsidRPr="00021D89">
        <w:rPr>
          <w:rFonts w:ascii="Arial" w:hAnsi="Arial" w:cs="Arial"/>
        </w:rPr>
        <w:t>Agree </w:t>
      </w:r>
    </w:p>
    <w:p w14:paraId="1E687968" w14:textId="77777777" w:rsidR="00021D89" w:rsidRPr="00021D89" w:rsidRDefault="004A2725" w:rsidP="00021D89">
      <w:pPr>
        <w:pStyle w:val="ListParagraph"/>
        <w:numPr>
          <w:ilvl w:val="0"/>
          <w:numId w:val="4"/>
        </w:numPr>
        <w:rPr>
          <w:rFonts w:ascii="Arial" w:hAnsi="Arial" w:cs="Arial"/>
        </w:rPr>
      </w:pPr>
      <w:r w:rsidRPr="00021D89">
        <w:rPr>
          <w:rFonts w:ascii="Arial" w:hAnsi="Arial" w:cs="Arial"/>
        </w:rPr>
        <w:t>Neither agree nor disagree </w:t>
      </w:r>
    </w:p>
    <w:p w14:paraId="713008E5" w14:textId="77777777" w:rsidR="00021D89" w:rsidRPr="00021D89" w:rsidRDefault="004A2725" w:rsidP="00021D89">
      <w:pPr>
        <w:pStyle w:val="ListParagraph"/>
        <w:numPr>
          <w:ilvl w:val="0"/>
          <w:numId w:val="4"/>
        </w:numPr>
        <w:rPr>
          <w:rFonts w:ascii="Arial" w:hAnsi="Arial" w:cs="Arial"/>
        </w:rPr>
      </w:pPr>
      <w:r w:rsidRPr="00021D89">
        <w:rPr>
          <w:rFonts w:ascii="Arial" w:hAnsi="Arial" w:cs="Arial"/>
        </w:rPr>
        <w:t>Disagree </w:t>
      </w:r>
    </w:p>
    <w:p w14:paraId="5A4E5A39" w14:textId="29064920" w:rsidR="004A2725" w:rsidRPr="00EF3A76" w:rsidRDefault="004A2725" w:rsidP="00021D89">
      <w:pPr>
        <w:pStyle w:val="ListParagraph"/>
        <w:numPr>
          <w:ilvl w:val="0"/>
          <w:numId w:val="4"/>
        </w:numPr>
        <w:rPr>
          <w:rFonts w:ascii="Arial" w:hAnsi="Arial" w:cs="Arial"/>
          <w:highlight w:val="yellow"/>
        </w:rPr>
      </w:pPr>
      <w:r w:rsidRPr="00EF3A76">
        <w:rPr>
          <w:rFonts w:ascii="Arial" w:hAnsi="Arial" w:cs="Arial"/>
          <w:highlight w:val="yellow"/>
        </w:rPr>
        <w:t>No view</w:t>
      </w:r>
    </w:p>
    <w:p w14:paraId="0AE81F9E" w14:textId="77777777" w:rsidR="004A2725" w:rsidRPr="00EE31C6" w:rsidRDefault="004A2725" w:rsidP="004A2725">
      <w:pPr>
        <w:rPr>
          <w:rFonts w:ascii="Arial" w:hAnsi="Arial" w:cs="Arial"/>
          <w:b/>
        </w:rPr>
      </w:pPr>
      <w:r w:rsidRPr="00EE31C6">
        <w:rPr>
          <w:rFonts w:ascii="Arial" w:hAnsi="Arial" w:cs="Arial"/>
          <w:b/>
        </w:rPr>
        <w:t>Please provide any additional information, including any explanation or evidence for your response.</w:t>
      </w:r>
    </w:p>
    <w:p w14:paraId="47A55B39" w14:textId="2C2D4713" w:rsidR="00EF3A76" w:rsidRPr="00021D89" w:rsidRDefault="00EF3A76" w:rsidP="004A2725">
      <w:pPr>
        <w:rPr>
          <w:rFonts w:ascii="Arial" w:hAnsi="Arial" w:cs="Arial"/>
        </w:rPr>
      </w:pPr>
      <w:r>
        <w:rPr>
          <w:rFonts w:ascii="Arial" w:hAnsi="Arial" w:cs="Arial"/>
        </w:rPr>
        <w:t>N/A</w:t>
      </w:r>
    </w:p>
    <w:p w14:paraId="06119AE3" w14:textId="0451432E" w:rsidR="004A2725" w:rsidRPr="00EE31C6" w:rsidRDefault="004A2725" w:rsidP="004A2725">
      <w:pPr>
        <w:rPr>
          <w:rFonts w:ascii="Arial" w:hAnsi="Arial" w:cs="Arial"/>
          <w:b/>
        </w:rPr>
      </w:pPr>
      <w:r w:rsidRPr="00EE31C6">
        <w:rPr>
          <w:rFonts w:ascii="Arial" w:hAnsi="Arial" w:cs="Arial"/>
          <w:b/>
        </w:rPr>
        <w:t>4</w:t>
      </w:r>
      <w:r w:rsidR="00D90B69" w:rsidRPr="00EE31C6">
        <w:rPr>
          <w:rFonts w:ascii="Arial" w:hAnsi="Arial" w:cs="Arial"/>
          <w:b/>
        </w:rPr>
        <w:t xml:space="preserve">. </w:t>
      </w:r>
      <w:r w:rsidRPr="00EE31C6">
        <w:rPr>
          <w:rFonts w:ascii="Arial" w:hAnsi="Arial" w:cs="Arial"/>
          <w:b/>
        </w:rPr>
        <w:t>Do you agree or disagree with the government’s proposed approach to distributing funding for the Families First Partnership programme via the final version of the Children and Young People’s Services (CYPS) relative needs formula?</w:t>
      </w:r>
    </w:p>
    <w:p w14:paraId="7AB8A9E7" w14:textId="376EFCC2" w:rsidR="00021D89" w:rsidRPr="00021D89" w:rsidRDefault="004A2725" w:rsidP="00021D89">
      <w:pPr>
        <w:pStyle w:val="ListParagraph"/>
        <w:numPr>
          <w:ilvl w:val="0"/>
          <w:numId w:val="5"/>
        </w:numPr>
        <w:rPr>
          <w:rFonts w:ascii="Arial" w:hAnsi="Arial" w:cs="Arial"/>
        </w:rPr>
      </w:pPr>
      <w:r w:rsidRPr="00021D89">
        <w:rPr>
          <w:rFonts w:ascii="Arial" w:hAnsi="Arial" w:cs="Arial"/>
        </w:rPr>
        <w:t>Agree </w:t>
      </w:r>
    </w:p>
    <w:p w14:paraId="4FBC7A3D" w14:textId="77777777" w:rsidR="00021D89" w:rsidRPr="00021D89" w:rsidRDefault="004A2725" w:rsidP="00021D89">
      <w:pPr>
        <w:pStyle w:val="ListParagraph"/>
        <w:numPr>
          <w:ilvl w:val="0"/>
          <w:numId w:val="5"/>
        </w:numPr>
        <w:rPr>
          <w:rFonts w:ascii="Arial" w:hAnsi="Arial" w:cs="Arial"/>
        </w:rPr>
      </w:pPr>
      <w:r w:rsidRPr="00021D89">
        <w:rPr>
          <w:rFonts w:ascii="Arial" w:hAnsi="Arial" w:cs="Arial"/>
        </w:rPr>
        <w:t>Neither agree nor disagree </w:t>
      </w:r>
    </w:p>
    <w:p w14:paraId="7C44C7BF" w14:textId="77777777" w:rsidR="00021D89" w:rsidRPr="00021D89" w:rsidRDefault="004A2725" w:rsidP="00021D89">
      <w:pPr>
        <w:pStyle w:val="ListParagraph"/>
        <w:numPr>
          <w:ilvl w:val="0"/>
          <w:numId w:val="5"/>
        </w:numPr>
        <w:rPr>
          <w:rFonts w:ascii="Arial" w:hAnsi="Arial" w:cs="Arial"/>
        </w:rPr>
      </w:pPr>
      <w:r w:rsidRPr="00021D89">
        <w:rPr>
          <w:rFonts w:ascii="Arial" w:hAnsi="Arial" w:cs="Arial"/>
        </w:rPr>
        <w:t>Disagree </w:t>
      </w:r>
    </w:p>
    <w:p w14:paraId="6C6FA990" w14:textId="0CAA4C7B" w:rsidR="004A2725" w:rsidRPr="00EF3A76" w:rsidRDefault="004A2725" w:rsidP="00021D89">
      <w:pPr>
        <w:pStyle w:val="ListParagraph"/>
        <w:numPr>
          <w:ilvl w:val="0"/>
          <w:numId w:val="5"/>
        </w:numPr>
        <w:rPr>
          <w:rFonts w:ascii="Arial" w:hAnsi="Arial" w:cs="Arial"/>
          <w:highlight w:val="yellow"/>
        </w:rPr>
      </w:pPr>
      <w:r w:rsidRPr="00EF3A76">
        <w:rPr>
          <w:rFonts w:ascii="Arial" w:hAnsi="Arial" w:cs="Arial"/>
          <w:highlight w:val="yellow"/>
        </w:rPr>
        <w:t>No view</w:t>
      </w:r>
    </w:p>
    <w:p w14:paraId="12C8F4DF" w14:textId="77777777" w:rsidR="004A2725" w:rsidRPr="00EE31C6" w:rsidRDefault="004A2725" w:rsidP="004A2725">
      <w:pPr>
        <w:rPr>
          <w:rFonts w:ascii="Arial" w:hAnsi="Arial" w:cs="Arial"/>
          <w:b/>
        </w:rPr>
      </w:pPr>
      <w:r w:rsidRPr="00EE31C6">
        <w:rPr>
          <w:rFonts w:ascii="Arial" w:hAnsi="Arial" w:cs="Arial"/>
          <w:b/>
        </w:rPr>
        <w:t>Please provide any additional information, including any explanation or evidence for your response.</w:t>
      </w:r>
    </w:p>
    <w:p w14:paraId="4266D6B8" w14:textId="77777777" w:rsidR="004A2725" w:rsidRPr="00EE31C6" w:rsidRDefault="004A2725" w:rsidP="004A2725">
      <w:pPr>
        <w:rPr>
          <w:rFonts w:ascii="Arial" w:hAnsi="Arial" w:cs="Arial"/>
          <w:b/>
        </w:rPr>
      </w:pPr>
      <w:r w:rsidRPr="00EE31C6">
        <w:rPr>
          <w:rFonts w:ascii="Arial" w:hAnsi="Arial" w:cs="Arial"/>
          <w:b/>
        </w:rPr>
        <w:lastRenderedPageBreak/>
        <w:t>5. Do you agree or disagree with the government’s proposed approach of continuing the IDB support grant for 26/27 but seeking an alternative solution from 27/28?</w:t>
      </w:r>
    </w:p>
    <w:p w14:paraId="12B4714F" w14:textId="6CE71DE3" w:rsidR="00021D89" w:rsidRPr="00021D89" w:rsidRDefault="004A2725" w:rsidP="00021D89">
      <w:pPr>
        <w:pStyle w:val="ListParagraph"/>
        <w:numPr>
          <w:ilvl w:val="0"/>
          <w:numId w:val="6"/>
        </w:numPr>
        <w:rPr>
          <w:rFonts w:ascii="Arial" w:hAnsi="Arial" w:cs="Arial"/>
        </w:rPr>
      </w:pPr>
      <w:r w:rsidRPr="00021D89">
        <w:rPr>
          <w:rFonts w:ascii="Arial" w:hAnsi="Arial" w:cs="Arial"/>
        </w:rPr>
        <w:t>Agree </w:t>
      </w:r>
    </w:p>
    <w:p w14:paraId="3E661461" w14:textId="77777777" w:rsidR="00021D89" w:rsidRPr="00021D89" w:rsidRDefault="004A2725" w:rsidP="00021D89">
      <w:pPr>
        <w:pStyle w:val="ListParagraph"/>
        <w:numPr>
          <w:ilvl w:val="0"/>
          <w:numId w:val="6"/>
        </w:numPr>
        <w:rPr>
          <w:rFonts w:ascii="Arial" w:hAnsi="Arial" w:cs="Arial"/>
        </w:rPr>
      </w:pPr>
      <w:r w:rsidRPr="00021D89">
        <w:rPr>
          <w:rFonts w:ascii="Arial" w:hAnsi="Arial" w:cs="Arial"/>
        </w:rPr>
        <w:t>Neither agree nor disagree </w:t>
      </w:r>
    </w:p>
    <w:p w14:paraId="4D7026FC" w14:textId="77777777" w:rsidR="00021D89" w:rsidRPr="00021D89" w:rsidRDefault="004A2725" w:rsidP="00021D89">
      <w:pPr>
        <w:pStyle w:val="ListParagraph"/>
        <w:numPr>
          <w:ilvl w:val="0"/>
          <w:numId w:val="6"/>
        </w:numPr>
        <w:rPr>
          <w:rFonts w:ascii="Arial" w:hAnsi="Arial" w:cs="Arial"/>
        </w:rPr>
      </w:pPr>
      <w:r w:rsidRPr="00021D89">
        <w:rPr>
          <w:rFonts w:ascii="Arial" w:hAnsi="Arial" w:cs="Arial"/>
        </w:rPr>
        <w:t>Disagree </w:t>
      </w:r>
    </w:p>
    <w:p w14:paraId="7E482429" w14:textId="6D28B337" w:rsidR="004A2725" w:rsidRPr="00EF3A76" w:rsidRDefault="004A2725" w:rsidP="00021D89">
      <w:pPr>
        <w:pStyle w:val="ListParagraph"/>
        <w:numPr>
          <w:ilvl w:val="0"/>
          <w:numId w:val="6"/>
        </w:numPr>
        <w:rPr>
          <w:rFonts w:ascii="Arial" w:hAnsi="Arial" w:cs="Arial"/>
          <w:highlight w:val="yellow"/>
        </w:rPr>
      </w:pPr>
      <w:r w:rsidRPr="00EF3A76">
        <w:rPr>
          <w:rFonts w:ascii="Arial" w:hAnsi="Arial" w:cs="Arial"/>
          <w:highlight w:val="yellow"/>
        </w:rPr>
        <w:t>No view</w:t>
      </w:r>
    </w:p>
    <w:p w14:paraId="30A03880" w14:textId="77777777" w:rsidR="004A2725" w:rsidRPr="00EE31C6" w:rsidRDefault="004A2725" w:rsidP="004A2725">
      <w:pPr>
        <w:rPr>
          <w:rFonts w:ascii="Arial" w:hAnsi="Arial" w:cs="Arial"/>
          <w:b/>
        </w:rPr>
      </w:pPr>
      <w:r w:rsidRPr="00EE31C6">
        <w:rPr>
          <w:rFonts w:ascii="Arial" w:hAnsi="Arial" w:cs="Arial"/>
          <w:b/>
        </w:rPr>
        <w:t>Please provide any additional information, including any explanation or evidence for your response.</w:t>
      </w:r>
    </w:p>
    <w:p w14:paraId="0DA446DE" w14:textId="77777777" w:rsidR="004A2725" w:rsidRPr="00EE31C6" w:rsidRDefault="004A2725" w:rsidP="004A2725">
      <w:pPr>
        <w:rPr>
          <w:rFonts w:ascii="Arial" w:hAnsi="Arial" w:cs="Arial"/>
          <w:b/>
        </w:rPr>
      </w:pPr>
      <w:r w:rsidRPr="00EE31C6">
        <w:rPr>
          <w:rFonts w:ascii="Arial" w:hAnsi="Arial" w:cs="Arial"/>
          <w:b/>
        </w:rPr>
        <w:t>6. Do you agree or disagree with the government's proposal on Mayoral Strategic Authorities in the Local Government Finance Settlement?</w:t>
      </w:r>
    </w:p>
    <w:p w14:paraId="2DC60F43" w14:textId="7690EB06" w:rsidR="00021D89" w:rsidRPr="001463D8" w:rsidRDefault="004A2725" w:rsidP="00021D89">
      <w:pPr>
        <w:pStyle w:val="ListParagraph"/>
        <w:numPr>
          <w:ilvl w:val="0"/>
          <w:numId w:val="7"/>
        </w:numPr>
        <w:rPr>
          <w:rFonts w:ascii="Arial" w:hAnsi="Arial" w:cs="Arial"/>
          <w:highlight w:val="yellow"/>
        </w:rPr>
      </w:pPr>
      <w:r w:rsidRPr="001463D8">
        <w:rPr>
          <w:rFonts w:ascii="Arial" w:hAnsi="Arial" w:cs="Arial"/>
          <w:highlight w:val="yellow"/>
        </w:rPr>
        <w:t>Agree </w:t>
      </w:r>
    </w:p>
    <w:p w14:paraId="12B6DB64" w14:textId="77777777" w:rsidR="00021D89" w:rsidRPr="00021D89" w:rsidRDefault="004A2725" w:rsidP="00021D89">
      <w:pPr>
        <w:pStyle w:val="ListParagraph"/>
        <w:numPr>
          <w:ilvl w:val="0"/>
          <w:numId w:val="7"/>
        </w:numPr>
        <w:rPr>
          <w:rFonts w:ascii="Arial" w:hAnsi="Arial" w:cs="Arial"/>
        </w:rPr>
      </w:pPr>
      <w:r w:rsidRPr="00021D89">
        <w:rPr>
          <w:rFonts w:ascii="Arial" w:hAnsi="Arial" w:cs="Arial"/>
        </w:rPr>
        <w:t>Neither agree nor disagree </w:t>
      </w:r>
    </w:p>
    <w:p w14:paraId="2BB341A0" w14:textId="16E9643B" w:rsidR="00021D89" w:rsidRPr="00021D89" w:rsidRDefault="004A2725" w:rsidP="00021D89">
      <w:pPr>
        <w:pStyle w:val="ListParagraph"/>
        <w:numPr>
          <w:ilvl w:val="0"/>
          <w:numId w:val="7"/>
        </w:numPr>
        <w:rPr>
          <w:rFonts w:ascii="Arial" w:hAnsi="Arial" w:cs="Arial"/>
        </w:rPr>
      </w:pPr>
      <w:r w:rsidRPr="00021D89">
        <w:rPr>
          <w:rFonts w:ascii="Arial" w:hAnsi="Arial" w:cs="Arial"/>
        </w:rPr>
        <w:t>Disagree </w:t>
      </w:r>
    </w:p>
    <w:p w14:paraId="723F673F" w14:textId="18846F6C" w:rsidR="004A2725" w:rsidRPr="00021D89" w:rsidRDefault="004A2725" w:rsidP="00021D89">
      <w:pPr>
        <w:pStyle w:val="ListParagraph"/>
        <w:numPr>
          <w:ilvl w:val="0"/>
          <w:numId w:val="7"/>
        </w:numPr>
        <w:rPr>
          <w:rFonts w:ascii="Arial" w:hAnsi="Arial" w:cs="Arial"/>
        </w:rPr>
      </w:pPr>
      <w:r w:rsidRPr="00021D89">
        <w:rPr>
          <w:rFonts w:ascii="Arial" w:hAnsi="Arial" w:cs="Arial"/>
        </w:rPr>
        <w:t>No view</w:t>
      </w:r>
    </w:p>
    <w:p w14:paraId="0568C95C" w14:textId="77777777" w:rsidR="004A2725" w:rsidRPr="00EE31C6" w:rsidRDefault="004A2725" w:rsidP="004A2725">
      <w:pPr>
        <w:rPr>
          <w:rFonts w:ascii="Arial" w:hAnsi="Arial" w:cs="Arial"/>
          <w:b/>
        </w:rPr>
      </w:pPr>
      <w:r w:rsidRPr="00EE31C6">
        <w:rPr>
          <w:rFonts w:ascii="Arial" w:hAnsi="Arial" w:cs="Arial"/>
          <w:b/>
          <w:highlight w:val="yellow"/>
        </w:rPr>
        <w:t>Please provide any additional information, including any explanation or evidence for your response.</w:t>
      </w:r>
    </w:p>
    <w:p w14:paraId="585AA408" w14:textId="77777777" w:rsidR="001463D8" w:rsidRPr="001463D8" w:rsidRDefault="001463D8" w:rsidP="001463D8">
      <w:pPr>
        <w:rPr>
          <w:rFonts w:ascii="Arial" w:hAnsi="Arial" w:cs="Arial"/>
        </w:rPr>
      </w:pPr>
      <w:r w:rsidRPr="001463D8">
        <w:rPr>
          <w:rFonts w:ascii="Arial" w:hAnsi="Arial" w:cs="Arial"/>
        </w:rPr>
        <w:t>We agree in principle with the proposal to strengthen the strategic role of Mayoral Strategic Authorities, but we do not agree with the proposal as set out unless it includes clear safeguards for adult social care funding, commissioning accountability and provider engagement.</w:t>
      </w:r>
    </w:p>
    <w:p w14:paraId="6A3ABE4D" w14:textId="77777777" w:rsidR="00274243" w:rsidRPr="00274243" w:rsidRDefault="001463D8" w:rsidP="00274243">
      <w:pPr>
        <w:rPr>
          <w:rFonts w:ascii="Arial" w:hAnsi="Arial" w:cs="Arial"/>
        </w:rPr>
      </w:pPr>
      <w:r w:rsidRPr="001463D8">
        <w:rPr>
          <w:rFonts w:ascii="Arial" w:hAnsi="Arial" w:cs="Arial"/>
        </w:rPr>
        <w:t>A stronger strategic tier has the potential to support better coordination across local government boundaries, align economic growth with public service delivery, and support more coherent place-based approaches.</w:t>
      </w:r>
      <w:r w:rsidR="00274243">
        <w:rPr>
          <w:rFonts w:ascii="Arial" w:hAnsi="Arial" w:cs="Arial"/>
        </w:rPr>
        <w:t xml:space="preserve"> In theory, </w:t>
      </w:r>
      <w:r w:rsidR="00274243" w:rsidRPr="00274243">
        <w:rPr>
          <w:rFonts w:ascii="Arial" w:hAnsi="Arial" w:cs="Arial"/>
        </w:rPr>
        <w:t>Mayoral Strategic Authorities could add value if they support:</w:t>
      </w:r>
    </w:p>
    <w:p w14:paraId="6AA371FA" w14:textId="77777777" w:rsidR="00274243" w:rsidRPr="00274243" w:rsidRDefault="00274243" w:rsidP="00274243">
      <w:pPr>
        <w:numPr>
          <w:ilvl w:val="0"/>
          <w:numId w:val="9"/>
        </w:numPr>
        <w:rPr>
          <w:rFonts w:ascii="Arial" w:hAnsi="Arial" w:cs="Arial"/>
        </w:rPr>
      </w:pPr>
      <w:r w:rsidRPr="00274243">
        <w:rPr>
          <w:rFonts w:ascii="Arial" w:hAnsi="Arial" w:cs="Arial"/>
        </w:rPr>
        <w:t>strategic workforce planning across labour markets</w:t>
      </w:r>
    </w:p>
    <w:p w14:paraId="1B587424" w14:textId="77777777" w:rsidR="00274243" w:rsidRPr="00274243" w:rsidRDefault="00274243" w:rsidP="00274243">
      <w:pPr>
        <w:numPr>
          <w:ilvl w:val="0"/>
          <w:numId w:val="9"/>
        </w:numPr>
        <w:rPr>
          <w:rFonts w:ascii="Arial" w:hAnsi="Arial" w:cs="Arial"/>
        </w:rPr>
      </w:pPr>
      <w:r w:rsidRPr="00274243">
        <w:rPr>
          <w:rFonts w:ascii="Arial" w:hAnsi="Arial" w:cs="Arial"/>
        </w:rPr>
        <w:t>coordination of commissioning reform across local authority boundaries</w:t>
      </w:r>
    </w:p>
    <w:p w14:paraId="2B6C4745" w14:textId="77777777" w:rsidR="00274243" w:rsidRPr="00274243" w:rsidRDefault="00274243" w:rsidP="00274243">
      <w:pPr>
        <w:numPr>
          <w:ilvl w:val="0"/>
          <w:numId w:val="9"/>
        </w:numPr>
        <w:rPr>
          <w:rFonts w:ascii="Arial" w:hAnsi="Arial" w:cs="Arial"/>
        </w:rPr>
      </w:pPr>
      <w:r w:rsidRPr="00274243">
        <w:rPr>
          <w:rFonts w:ascii="Arial" w:hAnsi="Arial" w:cs="Arial"/>
        </w:rPr>
        <w:t>place-based models that reduce fragmentation and enable guaranteed hours</w:t>
      </w:r>
    </w:p>
    <w:p w14:paraId="175C0099" w14:textId="68F58207" w:rsidR="001463D8" w:rsidRDefault="00274243" w:rsidP="004A2725">
      <w:pPr>
        <w:rPr>
          <w:rFonts w:ascii="Arial" w:hAnsi="Arial" w:cs="Arial"/>
        </w:rPr>
      </w:pPr>
      <w:r w:rsidRPr="00274243">
        <w:rPr>
          <w:rFonts w:ascii="Arial" w:hAnsi="Arial" w:cs="Arial"/>
        </w:rPr>
        <w:t>However, these benefits will only materialise if MSAs actively support ethical commissioning and sustainable fee-setting, rather than focusing solely on economic growth, infrastructure or regeneration.</w:t>
      </w:r>
    </w:p>
    <w:p w14:paraId="6D4114EC" w14:textId="36777399" w:rsidR="00ED784B" w:rsidRDefault="00D90B69" w:rsidP="004A2725">
      <w:pPr>
        <w:rPr>
          <w:rFonts w:ascii="Arial" w:hAnsi="Arial" w:cs="Arial"/>
        </w:rPr>
      </w:pPr>
      <w:r>
        <w:rPr>
          <w:rFonts w:ascii="Arial" w:hAnsi="Arial" w:cs="Arial"/>
        </w:rPr>
        <w:t>The</w:t>
      </w:r>
      <w:r w:rsidR="00ED784B">
        <w:rPr>
          <w:rFonts w:ascii="Arial" w:hAnsi="Arial" w:cs="Arial"/>
        </w:rPr>
        <w:t xml:space="preserve"> MSAs </w:t>
      </w:r>
      <w:r w:rsidR="00ED784B" w:rsidRPr="00ED784B">
        <w:rPr>
          <w:rFonts w:ascii="Arial" w:hAnsi="Arial" w:cs="Arial"/>
        </w:rPr>
        <w:t>must include structured and meaningful engagement with social care providers, alongside people drawing on care.</w:t>
      </w:r>
      <w:r w:rsidR="00ED784B">
        <w:rPr>
          <w:rFonts w:ascii="Arial" w:hAnsi="Arial" w:cs="Arial"/>
        </w:rPr>
        <w:t xml:space="preserve"> Without this, strategic decisions risk </w:t>
      </w:r>
      <w:r w:rsidR="00ED784B">
        <w:rPr>
          <w:rFonts w:ascii="Arial" w:hAnsi="Arial" w:cs="Arial"/>
        </w:rPr>
        <w:lastRenderedPageBreak/>
        <w:t>overlooking operational realities and creating unintended consequences for people accessing care and the delivery of services.</w:t>
      </w:r>
    </w:p>
    <w:p w14:paraId="527B238D" w14:textId="72DCF085" w:rsidR="00A76726" w:rsidRDefault="00A76726" w:rsidP="004A2725">
      <w:pPr>
        <w:rPr>
          <w:rFonts w:ascii="Arial" w:hAnsi="Arial" w:cs="Arial"/>
        </w:rPr>
      </w:pPr>
      <w:r w:rsidRPr="00A76726">
        <w:rPr>
          <w:rFonts w:ascii="Arial" w:hAnsi="Arial" w:cs="Arial"/>
        </w:rPr>
        <w:t>We therefore recommend that any enhanced role for Mayoral Strategic Authorities includes formal duties in relation to adult social care market sustainability, transparency of commissioning practice, and structured engagement with providers.</w:t>
      </w:r>
    </w:p>
    <w:p w14:paraId="20019070" w14:textId="77777777" w:rsidR="004A2725" w:rsidRPr="00EE31C6" w:rsidRDefault="004A2725" w:rsidP="004A2725">
      <w:pPr>
        <w:rPr>
          <w:rFonts w:ascii="Arial" w:hAnsi="Arial" w:cs="Arial"/>
          <w:b/>
        </w:rPr>
      </w:pPr>
      <w:r w:rsidRPr="00EE31C6">
        <w:rPr>
          <w:rFonts w:ascii="Arial" w:hAnsi="Arial" w:cs="Arial"/>
          <w:b/>
        </w:rPr>
        <w:t>7. Do you have any comments on the impact of the proposals outlined in this consultation document on persons who share a protected characteristic? Please identify which protected characteristic you believe will be impacted by these proposals and provide evidence to support your comments.</w:t>
      </w:r>
    </w:p>
    <w:p w14:paraId="770ECD22" w14:textId="77777777" w:rsidR="004A2725" w:rsidRDefault="004A2725" w:rsidP="004A2725">
      <w:pPr>
        <w:rPr>
          <w:rFonts w:ascii="Arial" w:hAnsi="Arial" w:cs="Arial"/>
        </w:rPr>
      </w:pPr>
      <w:r w:rsidRPr="0079331D">
        <w:rPr>
          <w:rFonts w:ascii="Arial" w:hAnsi="Arial" w:cs="Arial"/>
          <w:highlight w:val="yellow"/>
        </w:rPr>
        <w:t>Please provide any additional information, including any explanation or evidence for your response.</w:t>
      </w:r>
    </w:p>
    <w:p w14:paraId="30D740FC" w14:textId="0459F950" w:rsidR="004B06F3" w:rsidRPr="004B06F3" w:rsidRDefault="004B06F3" w:rsidP="004B06F3">
      <w:pPr>
        <w:rPr>
          <w:rFonts w:ascii="Arial" w:hAnsi="Arial" w:cs="Arial"/>
        </w:rPr>
      </w:pPr>
      <w:r w:rsidRPr="004B06F3">
        <w:rPr>
          <w:rFonts w:ascii="Arial" w:hAnsi="Arial" w:cs="Arial"/>
        </w:rPr>
        <w:t>Yes</w:t>
      </w:r>
      <w:r w:rsidR="00D90B69">
        <w:rPr>
          <w:rFonts w:ascii="Arial" w:hAnsi="Arial" w:cs="Arial"/>
        </w:rPr>
        <w:t>, the</w:t>
      </w:r>
      <w:r w:rsidRPr="004B06F3">
        <w:rPr>
          <w:rFonts w:ascii="Arial" w:hAnsi="Arial" w:cs="Arial"/>
        </w:rPr>
        <w:t xml:space="preserve"> proposals outlined in this consultation will have a disproportionate and adverse impact on several groups who share protected characteristics, particularly older people, disabled people, women, and people from ethnic minority backgrounds.</w:t>
      </w:r>
    </w:p>
    <w:p w14:paraId="4CE4CCAD" w14:textId="392F0DC6" w:rsidR="004B06F3" w:rsidRPr="004B06F3" w:rsidRDefault="004B06F3" w:rsidP="004B06F3">
      <w:pPr>
        <w:rPr>
          <w:rFonts w:ascii="Arial" w:hAnsi="Arial" w:cs="Arial"/>
        </w:rPr>
      </w:pPr>
      <w:r w:rsidRPr="004B06F3">
        <w:rPr>
          <w:rFonts w:ascii="Arial" w:hAnsi="Arial" w:cs="Arial"/>
        </w:rPr>
        <w:t xml:space="preserve">These impacts arise primarily through the effect of funding distribution, removal of </w:t>
      </w:r>
      <w:r w:rsidR="00D90B69">
        <w:rPr>
          <w:rFonts w:ascii="Arial" w:hAnsi="Arial" w:cs="Arial"/>
        </w:rPr>
        <w:t>ring-fencing</w:t>
      </w:r>
      <w:r w:rsidRPr="004B06F3">
        <w:rPr>
          <w:rFonts w:ascii="Arial" w:hAnsi="Arial" w:cs="Arial"/>
        </w:rPr>
        <w:t>, and transitional arrangements on the availability, quality and sustainability of homecare services.</w:t>
      </w:r>
    </w:p>
    <w:p w14:paraId="6A8782D3" w14:textId="77777777" w:rsidR="00516008" w:rsidRPr="00516008" w:rsidRDefault="00516008" w:rsidP="00516008">
      <w:pPr>
        <w:rPr>
          <w:rFonts w:ascii="Arial" w:hAnsi="Arial" w:cs="Arial"/>
          <w:b/>
          <w:bCs/>
        </w:rPr>
      </w:pPr>
      <w:r w:rsidRPr="00516008">
        <w:rPr>
          <w:rFonts w:ascii="Arial" w:hAnsi="Arial" w:cs="Arial"/>
          <w:b/>
          <w:bCs/>
        </w:rPr>
        <w:t>Older people (age)</w:t>
      </w:r>
    </w:p>
    <w:p w14:paraId="6BB2BE07" w14:textId="3E42039E" w:rsidR="00516008" w:rsidRPr="00516008" w:rsidRDefault="00516008" w:rsidP="00516008">
      <w:pPr>
        <w:rPr>
          <w:rFonts w:ascii="Arial" w:hAnsi="Arial" w:cs="Arial"/>
        </w:rPr>
      </w:pPr>
      <w:r w:rsidRPr="00516008">
        <w:rPr>
          <w:rFonts w:ascii="Arial" w:hAnsi="Arial" w:cs="Arial"/>
        </w:rPr>
        <w:t>Older people form the largest group drawing on state-funded homecare. Any reduction in the availability or quality of homecare services therefore disproportionately affects people with this protected characteristic.</w:t>
      </w:r>
    </w:p>
    <w:p w14:paraId="4E8A4864" w14:textId="1F2F99E1" w:rsidR="00516008" w:rsidRPr="00516008" w:rsidRDefault="00516008" w:rsidP="00516008">
      <w:pPr>
        <w:rPr>
          <w:rFonts w:ascii="Arial" w:hAnsi="Arial" w:cs="Arial"/>
        </w:rPr>
      </w:pPr>
      <w:r>
        <w:rPr>
          <w:rFonts w:ascii="Arial" w:hAnsi="Arial" w:cs="Arial"/>
        </w:rPr>
        <w:t>P</w:t>
      </w:r>
      <w:r w:rsidRPr="00516008">
        <w:rPr>
          <w:rFonts w:ascii="Arial" w:hAnsi="Arial" w:cs="Arial"/>
        </w:rPr>
        <w:t>ressures</w:t>
      </w:r>
      <w:r w:rsidR="00525482">
        <w:rPr>
          <w:rFonts w:ascii="Arial" w:hAnsi="Arial" w:cs="Arial"/>
        </w:rPr>
        <w:t xml:space="preserve"> in the market</w:t>
      </w:r>
      <w:r w:rsidRPr="00516008">
        <w:rPr>
          <w:rFonts w:ascii="Arial" w:hAnsi="Arial" w:cs="Arial"/>
        </w:rPr>
        <w:t xml:space="preserve"> increase the risk of unmet need, shorter visits, delayed care packages and provider exit, all of which disproportionately affect older people who rely on daily support to live independently at home</w:t>
      </w:r>
      <w:r>
        <w:rPr>
          <w:rFonts w:ascii="Arial" w:hAnsi="Arial" w:cs="Arial"/>
        </w:rPr>
        <w:t xml:space="preserve">. </w:t>
      </w:r>
      <w:r w:rsidRPr="00516008">
        <w:rPr>
          <w:rFonts w:ascii="Arial" w:hAnsi="Arial" w:cs="Arial"/>
        </w:rPr>
        <w:t xml:space="preserve">Underfunding </w:t>
      </w:r>
      <w:r w:rsidR="00D90B69">
        <w:rPr>
          <w:rFonts w:ascii="Arial" w:hAnsi="Arial" w:cs="Arial"/>
        </w:rPr>
        <w:t>of homecare</w:t>
      </w:r>
      <w:r w:rsidRPr="00516008">
        <w:rPr>
          <w:rFonts w:ascii="Arial" w:hAnsi="Arial" w:cs="Arial"/>
        </w:rPr>
        <w:t xml:space="preserve"> also exacerbates delayed hospital discharge. Evidence shows that 42% of people in hospital wait for services provided mainly through social care. Older people experience the greatest harm from prolonged hospital stays, including loss of mobility, independence and wellbeing.</w:t>
      </w:r>
    </w:p>
    <w:p w14:paraId="6BDDD72D" w14:textId="77777777" w:rsidR="0013699F" w:rsidRPr="0013699F" w:rsidRDefault="0013699F" w:rsidP="0013699F">
      <w:pPr>
        <w:rPr>
          <w:rFonts w:ascii="Arial" w:hAnsi="Arial" w:cs="Arial"/>
          <w:b/>
          <w:bCs/>
        </w:rPr>
      </w:pPr>
      <w:r w:rsidRPr="0013699F">
        <w:rPr>
          <w:rFonts w:ascii="Arial" w:hAnsi="Arial" w:cs="Arial"/>
          <w:b/>
          <w:bCs/>
        </w:rPr>
        <w:t>Disabled people</w:t>
      </w:r>
    </w:p>
    <w:p w14:paraId="415C68B1" w14:textId="0AA2A1F9" w:rsidR="0013699F" w:rsidRPr="0013699F" w:rsidRDefault="0013699F" w:rsidP="0013699F">
      <w:pPr>
        <w:rPr>
          <w:rFonts w:ascii="Arial" w:hAnsi="Arial" w:cs="Arial"/>
        </w:rPr>
      </w:pPr>
      <w:r w:rsidRPr="0013699F">
        <w:rPr>
          <w:rFonts w:ascii="Arial" w:hAnsi="Arial" w:cs="Arial"/>
        </w:rPr>
        <w:t xml:space="preserve">Disabled adults of working age also rely heavily on homecare to live independently, </w:t>
      </w:r>
      <w:r w:rsidR="00D90B69">
        <w:rPr>
          <w:rFonts w:ascii="Arial" w:hAnsi="Arial" w:cs="Arial"/>
        </w:rPr>
        <w:t xml:space="preserve">access </w:t>
      </w:r>
      <w:r w:rsidRPr="0013699F">
        <w:rPr>
          <w:rFonts w:ascii="Arial" w:hAnsi="Arial" w:cs="Arial"/>
        </w:rPr>
        <w:t xml:space="preserve">employment, and </w:t>
      </w:r>
      <w:r w:rsidR="00D90B69">
        <w:rPr>
          <w:rFonts w:ascii="Arial" w:hAnsi="Arial" w:cs="Arial"/>
        </w:rPr>
        <w:t>take part</w:t>
      </w:r>
      <w:r w:rsidRPr="0013699F">
        <w:rPr>
          <w:rFonts w:ascii="Arial" w:hAnsi="Arial" w:cs="Arial"/>
        </w:rPr>
        <w:t xml:space="preserve"> in community life. Commissioning practices that spread limited funding across many providers undermine stability and increase the likelihood of care packages breaking down. This disproportionately affects disabled </w:t>
      </w:r>
      <w:r w:rsidRPr="0013699F">
        <w:rPr>
          <w:rFonts w:ascii="Arial" w:hAnsi="Arial" w:cs="Arial"/>
        </w:rPr>
        <w:lastRenderedPageBreak/>
        <w:t>people with complex or fluctuating needs, who require consistent, skilled support rather than short, task-based visits.</w:t>
      </w:r>
    </w:p>
    <w:p w14:paraId="70DD73A8" w14:textId="0982BCF4" w:rsidR="00E10EA7" w:rsidRPr="00E10EA7" w:rsidRDefault="00E10EA7" w:rsidP="00E10EA7">
      <w:pPr>
        <w:rPr>
          <w:rFonts w:ascii="Arial" w:hAnsi="Arial" w:cs="Arial"/>
          <w:b/>
          <w:bCs/>
        </w:rPr>
      </w:pPr>
      <w:r w:rsidRPr="00E10EA7">
        <w:rPr>
          <w:rFonts w:ascii="Arial" w:hAnsi="Arial" w:cs="Arial"/>
          <w:b/>
          <w:bCs/>
        </w:rPr>
        <w:t>Women (sex)</w:t>
      </w:r>
      <w:r>
        <w:rPr>
          <w:rFonts w:ascii="Arial" w:hAnsi="Arial" w:cs="Arial"/>
          <w:b/>
          <w:bCs/>
        </w:rPr>
        <w:t xml:space="preserve"> and e</w:t>
      </w:r>
      <w:r w:rsidRPr="00E10EA7">
        <w:rPr>
          <w:rFonts w:ascii="Arial" w:hAnsi="Arial" w:cs="Arial"/>
          <w:b/>
          <w:bCs/>
        </w:rPr>
        <w:t>thnic minority groups (race)</w:t>
      </w:r>
    </w:p>
    <w:p w14:paraId="14C6AA5B" w14:textId="70305B74" w:rsidR="00E10EA7" w:rsidRPr="00E10EA7" w:rsidRDefault="00E10EA7" w:rsidP="00E10EA7">
      <w:pPr>
        <w:rPr>
          <w:rFonts w:ascii="Arial" w:hAnsi="Arial" w:cs="Arial"/>
        </w:rPr>
      </w:pPr>
      <w:r w:rsidRPr="00E10EA7">
        <w:rPr>
          <w:rFonts w:ascii="Arial" w:hAnsi="Arial" w:cs="Arial"/>
        </w:rPr>
        <w:t xml:space="preserve">Women make up </w:t>
      </w:r>
      <w:r w:rsidR="0058265A">
        <w:rPr>
          <w:rFonts w:ascii="Arial" w:hAnsi="Arial" w:cs="Arial"/>
        </w:rPr>
        <w:t>most of the</w:t>
      </w:r>
      <w:r w:rsidRPr="00E10EA7">
        <w:rPr>
          <w:rFonts w:ascii="Arial" w:hAnsi="Arial" w:cs="Arial"/>
        </w:rPr>
        <w:t xml:space="preserve"> paid adult social care workforce. Evidence shows that fragmented commissioning reduces guaranteed hours and undermines predictable income. This particularly disadvantages women, who more often balance paid work with unpaid caring responsibilities. </w:t>
      </w:r>
    </w:p>
    <w:p w14:paraId="226AE2C4" w14:textId="77777777" w:rsidR="00E10EA7" w:rsidRPr="00E10EA7" w:rsidRDefault="00E10EA7" w:rsidP="00E10EA7">
      <w:pPr>
        <w:rPr>
          <w:rFonts w:ascii="Arial" w:hAnsi="Arial" w:cs="Arial"/>
        </w:rPr>
      </w:pPr>
      <w:r w:rsidRPr="00E10EA7">
        <w:rPr>
          <w:rFonts w:ascii="Arial" w:hAnsi="Arial" w:cs="Arial"/>
        </w:rPr>
        <w:t>People from ethnic minority backgrounds are over-represented within the paid care workforce, particularly in urban areas and high-cost labour markets.</w:t>
      </w:r>
    </w:p>
    <w:p w14:paraId="798A2FBF" w14:textId="243B0123" w:rsidR="00E10EA7" w:rsidRPr="00E10EA7" w:rsidRDefault="00E10EA7" w:rsidP="00E10EA7">
      <w:pPr>
        <w:rPr>
          <w:rFonts w:ascii="Arial" w:hAnsi="Arial" w:cs="Arial"/>
        </w:rPr>
      </w:pPr>
      <w:r w:rsidRPr="00E10EA7">
        <w:rPr>
          <w:rFonts w:ascii="Arial" w:hAnsi="Arial" w:cs="Arial"/>
        </w:rPr>
        <w:t xml:space="preserve">Funding arrangements that </w:t>
      </w:r>
      <w:r w:rsidR="0058265A">
        <w:rPr>
          <w:rFonts w:ascii="Arial" w:hAnsi="Arial" w:cs="Arial"/>
        </w:rPr>
        <w:t>cannot keep</w:t>
      </w:r>
      <w:r w:rsidRPr="00E10EA7">
        <w:rPr>
          <w:rFonts w:ascii="Arial" w:hAnsi="Arial" w:cs="Arial"/>
        </w:rPr>
        <w:t xml:space="preserve"> pace with wage and employment cost pressures increase the risk of poor working conditions</w:t>
      </w:r>
      <w:r w:rsidR="00DE38AF">
        <w:rPr>
          <w:rFonts w:ascii="Arial" w:hAnsi="Arial" w:cs="Arial"/>
        </w:rPr>
        <w:t xml:space="preserve"> </w:t>
      </w:r>
      <w:r w:rsidRPr="00E10EA7">
        <w:rPr>
          <w:rFonts w:ascii="Arial" w:hAnsi="Arial" w:cs="Arial"/>
        </w:rPr>
        <w:t>and workforce exploitation. These impacts fall disproportionately on ethnic minority workers, particularly migrant workers, who already face additional structural barriers in the labour market.</w:t>
      </w:r>
    </w:p>
    <w:p w14:paraId="4749DBDC" w14:textId="39A0B34F" w:rsidR="001B4FFC" w:rsidRPr="00021D89" w:rsidRDefault="001B4FFC">
      <w:pPr>
        <w:rPr>
          <w:rFonts w:ascii="Arial" w:hAnsi="Arial" w:cs="Arial"/>
        </w:rPr>
      </w:pPr>
    </w:p>
    <w:sectPr w:rsidR="001B4FFC" w:rsidRPr="00021D8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11EE" w14:textId="77777777" w:rsidR="003C56AD" w:rsidRDefault="003C56AD" w:rsidP="003C56AD">
      <w:pPr>
        <w:spacing w:after="0" w:line="240" w:lineRule="auto"/>
      </w:pPr>
      <w:r>
        <w:separator/>
      </w:r>
    </w:p>
  </w:endnote>
  <w:endnote w:type="continuationSeparator" w:id="0">
    <w:p w14:paraId="5674ABB1" w14:textId="77777777" w:rsidR="003C56AD" w:rsidRDefault="003C56AD" w:rsidP="003C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topia Std">
    <w:altName w:val="Cambria"/>
    <w:panose1 w:val="00000000000000000000"/>
    <w:charset w:val="00"/>
    <w:family w:val="roman"/>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7AA7" w14:textId="77777777" w:rsidR="003C56AD" w:rsidRDefault="003C56AD" w:rsidP="003C56AD">
      <w:pPr>
        <w:spacing w:after="0" w:line="240" w:lineRule="auto"/>
      </w:pPr>
      <w:r>
        <w:separator/>
      </w:r>
    </w:p>
  </w:footnote>
  <w:footnote w:type="continuationSeparator" w:id="0">
    <w:p w14:paraId="350FB20B" w14:textId="77777777" w:rsidR="003C56AD" w:rsidRDefault="003C56AD" w:rsidP="003C5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B6F1" w14:textId="156C21AC" w:rsidR="003C56AD" w:rsidRDefault="003C56AD">
    <w:pPr>
      <w:pStyle w:val="Header"/>
    </w:pPr>
    <w:r>
      <w:rPr>
        <w:noProof/>
      </w:rPr>
      <w:drawing>
        <wp:anchor distT="0" distB="0" distL="114300" distR="114300" simplePos="0" relativeHeight="251658240" behindDoc="0" locked="0" layoutInCell="1" allowOverlap="1" wp14:anchorId="32CB6A6E" wp14:editId="02D1B9CF">
          <wp:simplePos x="0" y="0"/>
          <wp:positionH relativeFrom="margin">
            <wp:align>center</wp:align>
          </wp:positionH>
          <wp:positionV relativeFrom="paragraph">
            <wp:posOffset>-878</wp:posOffset>
          </wp:positionV>
          <wp:extent cx="1621155" cy="1029970"/>
          <wp:effectExtent l="0" t="0" r="0" b="0"/>
          <wp:wrapTopAndBottom/>
          <wp:docPr id="123069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28A5"/>
    <w:multiLevelType w:val="hybridMultilevel"/>
    <w:tmpl w:val="F090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53221"/>
    <w:multiLevelType w:val="hybridMultilevel"/>
    <w:tmpl w:val="D4EC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2B378F"/>
    <w:multiLevelType w:val="hybridMultilevel"/>
    <w:tmpl w:val="64B0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677E93"/>
    <w:multiLevelType w:val="hybridMultilevel"/>
    <w:tmpl w:val="3498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977F3C"/>
    <w:multiLevelType w:val="hybridMultilevel"/>
    <w:tmpl w:val="4ED824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C1247B6"/>
    <w:multiLevelType w:val="hybridMultilevel"/>
    <w:tmpl w:val="8C52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44554"/>
    <w:multiLevelType w:val="multilevel"/>
    <w:tmpl w:val="E00A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B064B"/>
    <w:multiLevelType w:val="hybridMultilevel"/>
    <w:tmpl w:val="17BE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466222"/>
    <w:multiLevelType w:val="hybridMultilevel"/>
    <w:tmpl w:val="A8485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1420548">
    <w:abstractNumId w:val="8"/>
  </w:num>
  <w:num w:numId="2" w16cid:durableId="757872695">
    <w:abstractNumId w:val="3"/>
  </w:num>
  <w:num w:numId="3" w16cid:durableId="874468574">
    <w:abstractNumId w:val="1"/>
  </w:num>
  <w:num w:numId="4" w16cid:durableId="1847673964">
    <w:abstractNumId w:val="0"/>
  </w:num>
  <w:num w:numId="5" w16cid:durableId="1603951928">
    <w:abstractNumId w:val="5"/>
  </w:num>
  <w:num w:numId="6" w16cid:durableId="1997950319">
    <w:abstractNumId w:val="2"/>
  </w:num>
  <w:num w:numId="7" w16cid:durableId="942303325">
    <w:abstractNumId w:val="7"/>
  </w:num>
  <w:num w:numId="8" w16cid:durableId="1906522283">
    <w:abstractNumId w:val="4"/>
  </w:num>
  <w:num w:numId="9" w16cid:durableId="1576553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25"/>
    <w:rsid w:val="00021D89"/>
    <w:rsid w:val="000A4506"/>
    <w:rsid w:val="000D0B48"/>
    <w:rsid w:val="000E39E8"/>
    <w:rsid w:val="0013699F"/>
    <w:rsid w:val="001463D8"/>
    <w:rsid w:val="001B0F84"/>
    <w:rsid w:val="001B20F7"/>
    <w:rsid w:val="001B4FFC"/>
    <w:rsid w:val="001C585F"/>
    <w:rsid w:val="00214A2D"/>
    <w:rsid w:val="00240FBF"/>
    <w:rsid w:val="00274243"/>
    <w:rsid w:val="002E6B4F"/>
    <w:rsid w:val="003071E5"/>
    <w:rsid w:val="00310155"/>
    <w:rsid w:val="003165D9"/>
    <w:rsid w:val="003462A9"/>
    <w:rsid w:val="00385967"/>
    <w:rsid w:val="003929F4"/>
    <w:rsid w:val="003937F6"/>
    <w:rsid w:val="003C1C07"/>
    <w:rsid w:val="003C56AD"/>
    <w:rsid w:val="003D07F0"/>
    <w:rsid w:val="003E00B5"/>
    <w:rsid w:val="003F72B5"/>
    <w:rsid w:val="00400764"/>
    <w:rsid w:val="0040473A"/>
    <w:rsid w:val="004302D4"/>
    <w:rsid w:val="0043692C"/>
    <w:rsid w:val="0047502B"/>
    <w:rsid w:val="004A2725"/>
    <w:rsid w:val="004B06F3"/>
    <w:rsid w:val="004B2C10"/>
    <w:rsid w:val="004B7522"/>
    <w:rsid w:val="004C285E"/>
    <w:rsid w:val="004D4D41"/>
    <w:rsid w:val="005004BD"/>
    <w:rsid w:val="00515F38"/>
    <w:rsid w:val="00516008"/>
    <w:rsid w:val="00522219"/>
    <w:rsid w:val="00525482"/>
    <w:rsid w:val="0055753F"/>
    <w:rsid w:val="0058265A"/>
    <w:rsid w:val="005C45DD"/>
    <w:rsid w:val="005D65DA"/>
    <w:rsid w:val="005D7D7E"/>
    <w:rsid w:val="005F49D0"/>
    <w:rsid w:val="00605138"/>
    <w:rsid w:val="00624CB4"/>
    <w:rsid w:val="00633C75"/>
    <w:rsid w:val="006650DC"/>
    <w:rsid w:val="00687C66"/>
    <w:rsid w:val="00691108"/>
    <w:rsid w:val="006B2A9B"/>
    <w:rsid w:val="006B43F8"/>
    <w:rsid w:val="006C6368"/>
    <w:rsid w:val="006C6CDF"/>
    <w:rsid w:val="006E4C6E"/>
    <w:rsid w:val="00727E59"/>
    <w:rsid w:val="00752BFF"/>
    <w:rsid w:val="007606E1"/>
    <w:rsid w:val="007631BB"/>
    <w:rsid w:val="007806AE"/>
    <w:rsid w:val="0079331D"/>
    <w:rsid w:val="007F7221"/>
    <w:rsid w:val="008402F1"/>
    <w:rsid w:val="008454E5"/>
    <w:rsid w:val="00846682"/>
    <w:rsid w:val="00860D80"/>
    <w:rsid w:val="00884DC8"/>
    <w:rsid w:val="008B5DB3"/>
    <w:rsid w:val="008B6DF9"/>
    <w:rsid w:val="008C075E"/>
    <w:rsid w:val="008D2D74"/>
    <w:rsid w:val="008D4068"/>
    <w:rsid w:val="008E35F2"/>
    <w:rsid w:val="0093712B"/>
    <w:rsid w:val="00942E09"/>
    <w:rsid w:val="00984D45"/>
    <w:rsid w:val="009A4F94"/>
    <w:rsid w:val="009A78C1"/>
    <w:rsid w:val="009B4FE8"/>
    <w:rsid w:val="00A76726"/>
    <w:rsid w:val="00A87936"/>
    <w:rsid w:val="00AD0CF0"/>
    <w:rsid w:val="00AE3DC0"/>
    <w:rsid w:val="00AE618B"/>
    <w:rsid w:val="00B1591C"/>
    <w:rsid w:val="00B433EB"/>
    <w:rsid w:val="00B720A0"/>
    <w:rsid w:val="00BB0397"/>
    <w:rsid w:val="00BD5534"/>
    <w:rsid w:val="00BF59A5"/>
    <w:rsid w:val="00C01F54"/>
    <w:rsid w:val="00C2145D"/>
    <w:rsid w:val="00C83055"/>
    <w:rsid w:val="00CB310C"/>
    <w:rsid w:val="00CC142C"/>
    <w:rsid w:val="00D033D2"/>
    <w:rsid w:val="00D04B90"/>
    <w:rsid w:val="00D238A0"/>
    <w:rsid w:val="00D46D33"/>
    <w:rsid w:val="00D5704C"/>
    <w:rsid w:val="00D90B69"/>
    <w:rsid w:val="00D94A17"/>
    <w:rsid w:val="00DB5DF8"/>
    <w:rsid w:val="00DD2807"/>
    <w:rsid w:val="00DE38AF"/>
    <w:rsid w:val="00DE7070"/>
    <w:rsid w:val="00E10EA7"/>
    <w:rsid w:val="00E157FB"/>
    <w:rsid w:val="00E40E5B"/>
    <w:rsid w:val="00E52001"/>
    <w:rsid w:val="00EA2DA3"/>
    <w:rsid w:val="00EB6ABD"/>
    <w:rsid w:val="00ED784B"/>
    <w:rsid w:val="00EE31C6"/>
    <w:rsid w:val="00EF3A76"/>
    <w:rsid w:val="00F06AB5"/>
    <w:rsid w:val="00F104DE"/>
    <w:rsid w:val="00F27685"/>
    <w:rsid w:val="00F3475D"/>
    <w:rsid w:val="00F430F2"/>
    <w:rsid w:val="00F63C32"/>
    <w:rsid w:val="00F77D17"/>
    <w:rsid w:val="00F90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565E14"/>
  <w15:chartTrackingRefBased/>
  <w15:docId w15:val="{01AD01B5-4CA2-4237-ACA8-F6E0A0A3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A7"/>
  </w:style>
  <w:style w:type="paragraph" w:styleId="Heading1">
    <w:name w:val="heading 1"/>
    <w:basedOn w:val="Normal"/>
    <w:next w:val="Normal"/>
    <w:link w:val="Heading1Char"/>
    <w:uiPriority w:val="9"/>
    <w:qFormat/>
    <w:rsid w:val="004A2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2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2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725"/>
    <w:rPr>
      <w:rFonts w:eastAsiaTheme="majorEastAsia" w:cstheme="majorBidi"/>
      <w:color w:val="272727" w:themeColor="text1" w:themeTint="D8"/>
    </w:rPr>
  </w:style>
  <w:style w:type="paragraph" w:styleId="Title">
    <w:name w:val="Title"/>
    <w:basedOn w:val="Normal"/>
    <w:next w:val="Normal"/>
    <w:link w:val="TitleChar"/>
    <w:uiPriority w:val="10"/>
    <w:qFormat/>
    <w:rsid w:val="004A2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725"/>
    <w:pPr>
      <w:spacing w:before="160"/>
      <w:jc w:val="center"/>
    </w:pPr>
    <w:rPr>
      <w:i/>
      <w:iCs/>
      <w:color w:val="404040" w:themeColor="text1" w:themeTint="BF"/>
    </w:rPr>
  </w:style>
  <w:style w:type="character" w:customStyle="1" w:styleId="QuoteChar">
    <w:name w:val="Quote Char"/>
    <w:basedOn w:val="DefaultParagraphFont"/>
    <w:link w:val="Quote"/>
    <w:uiPriority w:val="29"/>
    <w:rsid w:val="004A2725"/>
    <w:rPr>
      <w:i/>
      <w:iCs/>
      <w:color w:val="404040" w:themeColor="text1" w:themeTint="BF"/>
    </w:rPr>
  </w:style>
  <w:style w:type="paragraph" w:styleId="ListParagraph">
    <w:name w:val="List Paragraph"/>
    <w:basedOn w:val="Normal"/>
    <w:uiPriority w:val="34"/>
    <w:qFormat/>
    <w:rsid w:val="004A2725"/>
    <w:pPr>
      <w:ind w:left="720"/>
      <w:contextualSpacing/>
    </w:pPr>
  </w:style>
  <w:style w:type="character" w:styleId="IntenseEmphasis">
    <w:name w:val="Intense Emphasis"/>
    <w:basedOn w:val="DefaultParagraphFont"/>
    <w:uiPriority w:val="21"/>
    <w:qFormat/>
    <w:rsid w:val="004A2725"/>
    <w:rPr>
      <w:i/>
      <w:iCs/>
      <w:color w:val="0F4761" w:themeColor="accent1" w:themeShade="BF"/>
    </w:rPr>
  </w:style>
  <w:style w:type="paragraph" w:styleId="IntenseQuote">
    <w:name w:val="Intense Quote"/>
    <w:basedOn w:val="Normal"/>
    <w:next w:val="Normal"/>
    <w:link w:val="IntenseQuoteChar"/>
    <w:uiPriority w:val="30"/>
    <w:qFormat/>
    <w:rsid w:val="004A2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725"/>
    <w:rPr>
      <w:i/>
      <w:iCs/>
      <w:color w:val="0F4761" w:themeColor="accent1" w:themeShade="BF"/>
    </w:rPr>
  </w:style>
  <w:style w:type="character" w:styleId="IntenseReference">
    <w:name w:val="Intense Reference"/>
    <w:basedOn w:val="DefaultParagraphFont"/>
    <w:uiPriority w:val="32"/>
    <w:qFormat/>
    <w:rsid w:val="004A2725"/>
    <w:rPr>
      <w:b/>
      <w:bCs/>
      <w:smallCaps/>
      <w:color w:val="0F4761" w:themeColor="accent1" w:themeShade="BF"/>
      <w:spacing w:val="5"/>
    </w:rPr>
  </w:style>
  <w:style w:type="character" w:styleId="CommentReference">
    <w:name w:val="annotation reference"/>
    <w:basedOn w:val="DefaultParagraphFont"/>
    <w:uiPriority w:val="99"/>
    <w:semiHidden/>
    <w:unhideWhenUsed/>
    <w:rsid w:val="003071E5"/>
    <w:rPr>
      <w:sz w:val="16"/>
      <w:szCs w:val="16"/>
    </w:rPr>
  </w:style>
  <w:style w:type="paragraph" w:styleId="CommentText">
    <w:name w:val="annotation text"/>
    <w:basedOn w:val="Normal"/>
    <w:link w:val="CommentTextChar"/>
    <w:uiPriority w:val="99"/>
    <w:unhideWhenUsed/>
    <w:rsid w:val="003071E5"/>
    <w:pPr>
      <w:spacing w:line="240" w:lineRule="auto"/>
    </w:pPr>
    <w:rPr>
      <w:sz w:val="20"/>
      <w:szCs w:val="20"/>
    </w:rPr>
  </w:style>
  <w:style w:type="character" w:customStyle="1" w:styleId="CommentTextChar">
    <w:name w:val="Comment Text Char"/>
    <w:basedOn w:val="DefaultParagraphFont"/>
    <w:link w:val="CommentText"/>
    <w:uiPriority w:val="99"/>
    <w:rsid w:val="003071E5"/>
    <w:rPr>
      <w:sz w:val="20"/>
      <w:szCs w:val="20"/>
    </w:rPr>
  </w:style>
  <w:style w:type="paragraph" w:styleId="CommentSubject">
    <w:name w:val="annotation subject"/>
    <w:basedOn w:val="CommentText"/>
    <w:next w:val="CommentText"/>
    <w:link w:val="CommentSubjectChar"/>
    <w:uiPriority w:val="99"/>
    <w:semiHidden/>
    <w:unhideWhenUsed/>
    <w:rsid w:val="003071E5"/>
    <w:rPr>
      <w:b/>
      <w:bCs/>
    </w:rPr>
  </w:style>
  <w:style w:type="character" w:customStyle="1" w:styleId="CommentSubjectChar">
    <w:name w:val="Comment Subject Char"/>
    <w:basedOn w:val="CommentTextChar"/>
    <w:link w:val="CommentSubject"/>
    <w:uiPriority w:val="99"/>
    <w:semiHidden/>
    <w:rsid w:val="003071E5"/>
    <w:rPr>
      <w:b/>
      <w:bCs/>
      <w:sz w:val="20"/>
      <w:szCs w:val="20"/>
    </w:rPr>
  </w:style>
  <w:style w:type="paragraph" w:styleId="NormalWeb">
    <w:name w:val="Normal (Web)"/>
    <w:basedOn w:val="Normal"/>
    <w:uiPriority w:val="99"/>
    <w:semiHidden/>
    <w:unhideWhenUsed/>
    <w:rsid w:val="00274243"/>
    <w:rPr>
      <w:rFonts w:ascii="Times New Roman" w:hAnsi="Times New Roman" w:cs="Times New Roman"/>
    </w:rPr>
  </w:style>
  <w:style w:type="paragraph" w:styleId="Header">
    <w:name w:val="header"/>
    <w:basedOn w:val="Normal"/>
    <w:link w:val="HeaderChar"/>
    <w:uiPriority w:val="99"/>
    <w:unhideWhenUsed/>
    <w:rsid w:val="003C5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6AD"/>
  </w:style>
  <w:style w:type="paragraph" w:styleId="Footer">
    <w:name w:val="footer"/>
    <w:basedOn w:val="Normal"/>
    <w:link w:val="FooterChar"/>
    <w:uiPriority w:val="99"/>
    <w:unhideWhenUsed/>
    <w:rsid w:val="003C5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6AD"/>
  </w:style>
  <w:style w:type="paragraph" w:styleId="Revision">
    <w:name w:val="Revision"/>
    <w:hidden/>
    <w:uiPriority w:val="99"/>
    <w:semiHidden/>
    <w:rsid w:val="00860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d69692-c9bf-4f07-9bc7-3546fc424f96" xsi:nil="true"/>
    <lcf76f155ced4ddcb4097134ff3c332f xmlns="84d66b87-9b4b-4586-bc95-1d516885c52e">
      <Terms xmlns="http://schemas.microsoft.com/office/infopath/2007/PartnerControls"/>
    </lcf76f155ced4ddcb4097134ff3c332f>
    <_dlc_DocId xmlns="64d69692-c9bf-4f07-9bc7-3546fc424f96">CJAKYKFAUSX2-2102554853-99591</_dlc_DocId>
    <_dlc_DocIdUrl xmlns="64d69692-c9bf-4f07-9bc7-3546fc424f96">
      <Url>https://ukhca.sharepoint.com/_layouts/15/DocIdRedir.aspx?ID=CJAKYKFAUSX2-2102554853-99591</Url>
      <Description>CJAKYKFAUSX2-2102554853-99591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2280C009860904386E6230198138E01" ma:contentTypeVersion="19" ma:contentTypeDescription="Create a new document." ma:contentTypeScope="" ma:versionID="adb9e702f223f9e4af6516f1e443cbf1">
  <xsd:schema xmlns:xsd="http://www.w3.org/2001/XMLSchema" xmlns:xs="http://www.w3.org/2001/XMLSchema" xmlns:p="http://schemas.microsoft.com/office/2006/metadata/properties" xmlns:ns2="64d69692-c9bf-4f07-9bc7-3546fc424f96" xmlns:ns3="84d66b87-9b4b-4586-bc95-1d516885c52e" targetNamespace="http://schemas.microsoft.com/office/2006/metadata/properties" ma:root="true" ma:fieldsID="92200391e7f3422ef018d252df997f28" ns2:_="" ns3:_="">
    <xsd:import namespace="64d69692-c9bf-4f07-9bc7-3546fc424f96"/>
    <xsd:import namespace="84d66b87-9b4b-4586-bc95-1d516885c5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2:_dlc_DocId" minOccurs="0"/>
                <xsd:element ref="ns2:_dlc_DocIdUrl" minOccurs="0"/>
                <xsd:element ref="ns2:_dlc_DocIdPersistId"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69692-c9bf-4f07-9bc7-3546fc424f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e94c9d-0660-4e9b-958e-fe52034a2bb6}" ma:internalName="TaxCatchAll" ma:showField="CatchAllData" ma:web="64d69692-c9bf-4f07-9bc7-3546fc424f96">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4d66b87-9b4b-4586-bc95-1d516885c5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458f8-ae83-4c2f-813a-5432372ded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91F04-E181-46D9-AEBA-A2CF0AC0EE42}">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84d66b87-9b4b-4586-bc95-1d516885c52e"/>
    <ds:schemaRef ds:uri="http://purl.org/dc/dcmitype/"/>
    <ds:schemaRef ds:uri="http://schemas.microsoft.com/office/infopath/2007/PartnerControls"/>
    <ds:schemaRef ds:uri="64d69692-c9bf-4f07-9bc7-3546fc424f96"/>
    <ds:schemaRef ds:uri="http://purl.org/dc/terms/"/>
  </ds:schemaRefs>
</ds:datastoreItem>
</file>

<file path=customXml/itemProps2.xml><?xml version="1.0" encoding="utf-8"?>
<ds:datastoreItem xmlns:ds="http://schemas.openxmlformats.org/officeDocument/2006/customXml" ds:itemID="{52D5C521-B35F-4136-A805-E2B11F713592}">
  <ds:schemaRefs>
    <ds:schemaRef ds:uri="http://schemas.microsoft.com/sharepoint/v3/contenttype/forms"/>
  </ds:schemaRefs>
</ds:datastoreItem>
</file>

<file path=customXml/itemProps3.xml><?xml version="1.0" encoding="utf-8"?>
<ds:datastoreItem xmlns:ds="http://schemas.openxmlformats.org/officeDocument/2006/customXml" ds:itemID="{35D5DD89-3CFF-459C-AF8C-973850FFAF0B}">
  <ds:schemaRefs>
    <ds:schemaRef ds:uri="http://schemas.microsoft.com/sharepoint/events"/>
  </ds:schemaRefs>
</ds:datastoreItem>
</file>

<file path=customXml/itemProps4.xml><?xml version="1.0" encoding="utf-8"?>
<ds:datastoreItem xmlns:ds="http://schemas.openxmlformats.org/officeDocument/2006/customXml" ds:itemID="{0BE5D30F-092A-40E7-9E1A-1F7C793AD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69692-c9bf-4f07-9bc7-3546fc424f96"/>
    <ds:schemaRef ds:uri="84d66b87-9b4b-4586-bc95-1d516885c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3080</Words>
  <Characters>17559</Characters>
  <Application>Microsoft Office Word</Application>
  <DocSecurity>0</DocSecurity>
  <Lines>146</Lines>
  <Paragraphs>41</Paragraphs>
  <ScaleCrop>false</ScaleCrop>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Cooney</dc:creator>
  <cp:keywords/>
  <dc:description/>
  <cp:lastModifiedBy>Daisy Cooney</cp:lastModifiedBy>
  <cp:revision>66</cp:revision>
  <dcterms:created xsi:type="dcterms:W3CDTF">2025-12-17T16:28:00Z</dcterms:created>
  <dcterms:modified xsi:type="dcterms:W3CDTF">2026-01-12T17:57:00Z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0x01010022280C009860904386E6230198138E01</vt:lpwstr>
  </property>
  <property fmtid="{D5CDD505-2E9C-101B-9397-08002B2CF9AE}" pid="3" name="_dlc_DocIdItemGuid">
    <vt:lpwstr>36886655-4521-455a-8f40-4f244a60824d</vt:lpwstr>
  </property>
  <property fmtid="{D5CDD505-2E9C-101B-9397-08002B2CF9AE}" pid="4" name="MediaServiceImageTags">
    <vt:lpwstr/>
  </property>
</Properties>
</file>