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1168" w14:textId="04EFAF6E" w:rsidR="00222429" w:rsidRPr="00E437BA" w:rsidRDefault="00222429" w:rsidP="00222429">
      <w:pPr>
        <w:pStyle w:val="Heading1"/>
      </w:pPr>
      <w:bookmarkStart w:id="0" w:name="_Toc116307588"/>
      <w:r>
        <w:t>Providers’ checklist</w:t>
      </w:r>
      <w:r w:rsidRPr="00E437BA">
        <w:t xml:space="preserve"> for </w:t>
      </w:r>
      <w:r>
        <w:t>w</w:t>
      </w:r>
      <w:r w:rsidRPr="00E437BA">
        <w:t xml:space="preserve">inter </w:t>
      </w:r>
      <w:r>
        <w:t>p</w:t>
      </w:r>
      <w:r w:rsidRPr="00E437BA">
        <w:t>lanning</w:t>
      </w:r>
      <w:bookmarkEnd w:id="0"/>
      <w:r w:rsidR="009B0E9B">
        <w:t xml:space="preserve"> </w:t>
      </w:r>
    </w:p>
    <w:p w14:paraId="748AA323" w14:textId="77777777" w:rsidR="00222429" w:rsidRPr="00E437BA" w:rsidRDefault="00222429" w:rsidP="00222429">
      <w:pPr>
        <w:pStyle w:val="BodyText"/>
      </w:pPr>
    </w:p>
    <w:p w14:paraId="05A16630" w14:textId="4C5C00A5" w:rsidR="00222429" w:rsidRDefault="00222429" w:rsidP="00222429">
      <w:pPr>
        <w:pStyle w:val="BodyText"/>
      </w:pPr>
      <w:r w:rsidRPr="00E437BA">
        <w:t xml:space="preserve">Many providers have their own action plan – a checklist of things to do both before and during the winter. The following action points have been compiled with the help of providers, to help guide </w:t>
      </w:r>
      <w:r>
        <w:t>homecare services</w:t>
      </w:r>
      <w:r w:rsidRPr="00E437BA">
        <w:t xml:space="preserve"> through the winter planning process:</w:t>
      </w:r>
    </w:p>
    <w:p w14:paraId="0091A1CC" w14:textId="6DF8B924" w:rsidR="00222429" w:rsidRDefault="00222429" w:rsidP="00222429">
      <w:pPr>
        <w:pStyle w:val="BodyText"/>
      </w:pPr>
    </w:p>
    <w:p w14:paraId="79E39675" w14:textId="2B0FFFF7" w:rsidR="00222429" w:rsidRDefault="00222429" w:rsidP="00222429">
      <w:pPr>
        <w:pStyle w:val="BodyText"/>
      </w:pPr>
    </w:p>
    <w:p w14:paraId="1FDB6B24" w14:textId="3FAA17B3" w:rsidR="00222429" w:rsidRDefault="00222429" w:rsidP="00222429">
      <w:pPr>
        <w:pStyle w:val="BodyText"/>
      </w:pPr>
    </w:p>
    <w:p w14:paraId="7B5BFCC6" w14:textId="12FD3477" w:rsidR="00222429" w:rsidRDefault="00222429" w:rsidP="00222429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3"/>
        <w:gridCol w:w="1448"/>
      </w:tblGrid>
      <w:tr w:rsidR="00222429" w14:paraId="15E74386" w14:textId="77777777" w:rsidTr="00222429">
        <w:tc>
          <w:tcPr>
            <w:tcW w:w="7513" w:type="dxa"/>
          </w:tcPr>
          <w:p w14:paraId="6F72E1E4" w14:textId="77777777" w:rsidR="00222429" w:rsidRPr="00E437BA" w:rsidRDefault="00222429" w:rsidP="00222429">
            <w:pPr>
              <w:pStyle w:val="ListParagraph"/>
              <w:numPr>
                <w:ilvl w:val="0"/>
                <w:numId w:val="1"/>
              </w:numPr>
              <w:jc w:val="left"/>
            </w:pPr>
            <w:r w:rsidRPr="00E437BA">
              <w:t>Download national and local winter plans by government, health authorities and local councils. See what resources are available to help your</w:t>
            </w:r>
            <w:r w:rsidRPr="00E437BA">
              <w:rPr>
                <w:spacing w:val="-6"/>
              </w:rPr>
              <w:t xml:space="preserve"> </w:t>
            </w:r>
            <w:r w:rsidRPr="00E437BA">
              <w:t>planning.</w:t>
            </w:r>
          </w:p>
          <w:p w14:paraId="0CEB0632" w14:textId="77777777" w:rsidR="00222429" w:rsidRDefault="00222429" w:rsidP="00222429">
            <w:pPr>
              <w:pStyle w:val="BodyText"/>
            </w:pPr>
          </w:p>
        </w:tc>
        <w:tc>
          <w:tcPr>
            <w:tcW w:w="1448" w:type="dxa"/>
          </w:tcPr>
          <w:p w14:paraId="2F5974EC" w14:textId="77777777" w:rsidR="00222429" w:rsidRDefault="00222429" w:rsidP="00222429">
            <w:pPr>
              <w:pStyle w:val="BodyText"/>
            </w:pPr>
          </w:p>
        </w:tc>
      </w:tr>
      <w:tr w:rsidR="00222429" w14:paraId="4C402943" w14:textId="77777777" w:rsidTr="00222429">
        <w:tc>
          <w:tcPr>
            <w:tcW w:w="7513" w:type="dxa"/>
          </w:tcPr>
          <w:p w14:paraId="59F513EF" w14:textId="77777777" w:rsidR="00222429" w:rsidRPr="00E437BA" w:rsidRDefault="00222429" w:rsidP="00222429">
            <w:pPr>
              <w:pStyle w:val="ListParagraph"/>
              <w:numPr>
                <w:ilvl w:val="0"/>
                <w:numId w:val="1"/>
              </w:numPr>
              <w:jc w:val="left"/>
            </w:pPr>
            <w:r w:rsidRPr="00E437BA">
              <w:t xml:space="preserve">Check and revise your emergency plans, so they are fit for this winter. Check you have current emergency and family contact details for </w:t>
            </w:r>
            <w:r>
              <w:t xml:space="preserve">people using homecare </w:t>
            </w:r>
            <w:r w:rsidRPr="00E437BA">
              <w:t>service</w:t>
            </w:r>
            <w:r>
              <w:t>s</w:t>
            </w:r>
            <w:r w:rsidRPr="00E437BA">
              <w:t>. Sign up for severe weather warnings and weather forecasts, so you are aware of any predicted snow and</w:t>
            </w:r>
            <w:r w:rsidRPr="00E437BA">
              <w:rPr>
                <w:spacing w:val="-10"/>
              </w:rPr>
              <w:t xml:space="preserve"> </w:t>
            </w:r>
            <w:r w:rsidRPr="00E437BA">
              <w:t>ice.</w:t>
            </w:r>
          </w:p>
          <w:p w14:paraId="42793364" w14:textId="77777777" w:rsidR="00222429" w:rsidRDefault="00222429" w:rsidP="00222429">
            <w:pPr>
              <w:pStyle w:val="BodyText"/>
            </w:pPr>
          </w:p>
        </w:tc>
        <w:tc>
          <w:tcPr>
            <w:tcW w:w="1448" w:type="dxa"/>
          </w:tcPr>
          <w:p w14:paraId="3EB54C62" w14:textId="77777777" w:rsidR="00222429" w:rsidRDefault="00222429" w:rsidP="00222429">
            <w:pPr>
              <w:pStyle w:val="BodyText"/>
            </w:pPr>
          </w:p>
        </w:tc>
      </w:tr>
      <w:tr w:rsidR="00222429" w14:paraId="006E3EC6" w14:textId="77777777" w:rsidTr="00222429">
        <w:tc>
          <w:tcPr>
            <w:tcW w:w="7513" w:type="dxa"/>
          </w:tcPr>
          <w:p w14:paraId="772EC2A1" w14:textId="77777777" w:rsidR="00222429" w:rsidRDefault="00222429" w:rsidP="00222429">
            <w:pPr>
              <w:pStyle w:val="ListParagraph"/>
              <w:numPr>
                <w:ilvl w:val="0"/>
                <w:numId w:val="1"/>
              </w:numPr>
              <w:jc w:val="left"/>
            </w:pPr>
            <w:r w:rsidRPr="00E437BA">
              <w:t xml:space="preserve">Review care plans to identify </w:t>
            </w:r>
            <w:r>
              <w:t>‘at risk’</w:t>
            </w:r>
            <w:r w:rsidRPr="00E437BA">
              <w:t xml:space="preserve"> </w:t>
            </w:r>
            <w:r>
              <w:t xml:space="preserve">people in your care. </w:t>
            </w:r>
            <w:r w:rsidRPr="00E437BA">
              <w:t xml:space="preserve"> </w:t>
            </w:r>
            <w:r>
              <w:t>P</w:t>
            </w:r>
            <w:r w:rsidRPr="00403A53">
              <w:t xml:space="preserve">ut in place plans to ensure clients can be reached if the usual methods of transport are not possible. Business </w:t>
            </w:r>
            <w:r>
              <w:t>c</w:t>
            </w:r>
            <w:r w:rsidRPr="00403A53">
              <w:t xml:space="preserve">ontinuity </w:t>
            </w:r>
            <w:r>
              <w:t>p</w:t>
            </w:r>
            <w:r w:rsidRPr="00403A53">
              <w:t>lans should include specific measures to make sure people continue to receive care.</w:t>
            </w:r>
          </w:p>
          <w:p w14:paraId="2C2C7806" w14:textId="77777777" w:rsidR="00222429" w:rsidRDefault="00222429" w:rsidP="00222429">
            <w:pPr>
              <w:pStyle w:val="BodyText"/>
            </w:pPr>
          </w:p>
        </w:tc>
        <w:tc>
          <w:tcPr>
            <w:tcW w:w="1448" w:type="dxa"/>
          </w:tcPr>
          <w:p w14:paraId="41053926" w14:textId="77777777" w:rsidR="00222429" w:rsidRDefault="00222429" w:rsidP="00222429">
            <w:pPr>
              <w:pStyle w:val="BodyText"/>
            </w:pPr>
          </w:p>
        </w:tc>
      </w:tr>
      <w:tr w:rsidR="00222429" w14:paraId="117DAC5E" w14:textId="77777777" w:rsidTr="00222429">
        <w:tc>
          <w:tcPr>
            <w:tcW w:w="7513" w:type="dxa"/>
          </w:tcPr>
          <w:p w14:paraId="733179DB" w14:textId="77777777" w:rsidR="00222429" w:rsidRPr="00E437BA" w:rsidRDefault="00222429" w:rsidP="00222429">
            <w:pPr>
              <w:pStyle w:val="ListParagraph"/>
              <w:numPr>
                <w:ilvl w:val="0"/>
                <w:numId w:val="1"/>
              </w:numPr>
              <w:jc w:val="left"/>
            </w:pPr>
            <w:r w:rsidRPr="00E437BA">
              <w:t xml:space="preserve">Check </w:t>
            </w:r>
            <w:r>
              <w:t>‘at risk’ people in your care</w:t>
            </w:r>
            <w:r w:rsidRPr="00E437BA">
              <w:t xml:space="preserve"> are ready for winter. Make sure your staff have access to essential supplies to keep clients warm and stocked with essential provisions. Be prepared to handle any emergency medication</w:t>
            </w:r>
            <w:r w:rsidRPr="00E437BA">
              <w:rPr>
                <w:spacing w:val="-3"/>
              </w:rPr>
              <w:t xml:space="preserve"> </w:t>
            </w:r>
            <w:r w:rsidRPr="00E437BA">
              <w:t>issues.</w:t>
            </w:r>
          </w:p>
          <w:p w14:paraId="4C1CCA5B" w14:textId="77777777" w:rsidR="00222429" w:rsidRPr="00E437BA" w:rsidRDefault="00222429" w:rsidP="00222429">
            <w:pPr>
              <w:pStyle w:val="ListParagraph"/>
            </w:pPr>
          </w:p>
          <w:p w14:paraId="4159C829" w14:textId="77777777" w:rsidR="00222429" w:rsidRDefault="00222429" w:rsidP="00222429">
            <w:pPr>
              <w:pStyle w:val="BodyText"/>
            </w:pPr>
          </w:p>
        </w:tc>
        <w:tc>
          <w:tcPr>
            <w:tcW w:w="1448" w:type="dxa"/>
          </w:tcPr>
          <w:p w14:paraId="2C609D42" w14:textId="77777777" w:rsidR="00222429" w:rsidRDefault="00222429" w:rsidP="00222429">
            <w:pPr>
              <w:pStyle w:val="BodyText"/>
            </w:pPr>
          </w:p>
        </w:tc>
      </w:tr>
      <w:tr w:rsidR="00222429" w14:paraId="39D8BD12" w14:textId="77777777" w:rsidTr="00222429">
        <w:tc>
          <w:tcPr>
            <w:tcW w:w="7513" w:type="dxa"/>
          </w:tcPr>
          <w:p w14:paraId="1EDE4D9B" w14:textId="77777777" w:rsidR="00222429" w:rsidRPr="00E437BA" w:rsidRDefault="00222429" w:rsidP="00222429">
            <w:pPr>
              <w:pStyle w:val="ListParagraph"/>
              <w:numPr>
                <w:ilvl w:val="0"/>
                <w:numId w:val="1"/>
              </w:numPr>
              <w:jc w:val="left"/>
            </w:pPr>
            <w:r w:rsidRPr="00E437BA">
              <w:t>Liaise with your local council so you are part of its emergency planning process. Develop plans with them to support those in remote areas. Consider making reciprocal arrangements with other</w:t>
            </w:r>
            <w:r w:rsidRPr="00E437BA">
              <w:rPr>
                <w:spacing w:val="-16"/>
              </w:rPr>
              <w:t xml:space="preserve"> </w:t>
            </w:r>
            <w:r w:rsidRPr="00E437BA">
              <w:t>providers.</w:t>
            </w:r>
          </w:p>
          <w:p w14:paraId="4934F091" w14:textId="77777777" w:rsidR="00222429" w:rsidRDefault="00222429" w:rsidP="00222429">
            <w:pPr>
              <w:pStyle w:val="BodyText"/>
            </w:pPr>
          </w:p>
        </w:tc>
        <w:tc>
          <w:tcPr>
            <w:tcW w:w="1448" w:type="dxa"/>
          </w:tcPr>
          <w:p w14:paraId="0EFDCE1C" w14:textId="77777777" w:rsidR="00222429" w:rsidRDefault="00222429" w:rsidP="00222429">
            <w:pPr>
              <w:pStyle w:val="BodyText"/>
            </w:pPr>
          </w:p>
        </w:tc>
      </w:tr>
      <w:tr w:rsidR="00222429" w14:paraId="6375473B" w14:textId="77777777" w:rsidTr="00222429">
        <w:tc>
          <w:tcPr>
            <w:tcW w:w="7513" w:type="dxa"/>
          </w:tcPr>
          <w:p w14:paraId="1B1FBAD0" w14:textId="77777777" w:rsidR="00222429" w:rsidRPr="00E437BA" w:rsidRDefault="00222429" w:rsidP="00222429">
            <w:pPr>
              <w:pStyle w:val="ListParagraph"/>
              <w:numPr>
                <w:ilvl w:val="0"/>
                <w:numId w:val="1"/>
              </w:numPr>
              <w:jc w:val="left"/>
            </w:pPr>
            <w:r w:rsidRPr="00E437BA">
              <w:t xml:space="preserve">Address workforce planning </w:t>
            </w:r>
            <w:r>
              <w:t xml:space="preserve">issues </w:t>
            </w:r>
            <w:r w:rsidRPr="00E437BA">
              <w:t xml:space="preserve">and decide what happens if key managers or staff are sick or unable to get to the office or visit </w:t>
            </w:r>
            <w:r>
              <w:t>clients</w:t>
            </w:r>
            <w:r w:rsidRPr="00E437BA">
              <w:t>.</w:t>
            </w:r>
          </w:p>
          <w:p w14:paraId="319D4C22" w14:textId="77777777" w:rsidR="00222429" w:rsidRDefault="00222429" w:rsidP="00222429">
            <w:pPr>
              <w:pStyle w:val="BodyText"/>
            </w:pPr>
          </w:p>
        </w:tc>
        <w:tc>
          <w:tcPr>
            <w:tcW w:w="1448" w:type="dxa"/>
          </w:tcPr>
          <w:p w14:paraId="7A7E89B1" w14:textId="77777777" w:rsidR="00222429" w:rsidRDefault="00222429" w:rsidP="00222429">
            <w:pPr>
              <w:pStyle w:val="BodyText"/>
            </w:pPr>
          </w:p>
        </w:tc>
      </w:tr>
      <w:tr w:rsidR="00222429" w14:paraId="59E08663" w14:textId="77777777" w:rsidTr="00222429">
        <w:tc>
          <w:tcPr>
            <w:tcW w:w="7513" w:type="dxa"/>
          </w:tcPr>
          <w:p w14:paraId="2427D4DE" w14:textId="77777777" w:rsidR="00222429" w:rsidRPr="00E437BA" w:rsidRDefault="00222429" w:rsidP="00222429">
            <w:pPr>
              <w:pStyle w:val="ListParagraph"/>
              <w:numPr>
                <w:ilvl w:val="0"/>
                <w:numId w:val="1"/>
              </w:numPr>
              <w:jc w:val="left"/>
            </w:pPr>
            <w:r w:rsidRPr="00E437BA">
              <w:t>Make sure you know which staff are likely to have difficulty with transport and work out how you can help</w:t>
            </w:r>
            <w:r w:rsidRPr="00E437BA">
              <w:rPr>
                <w:spacing w:val="-10"/>
              </w:rPr>
              <w:t xml:space="preserve"> </w:t>
            </w:r>
            <w:r w:rsidRPr="00E437BA">
              <w:t xml:space="preserve">them. Develop </w:t>
            </w:r>
            <w:r>
              <w:t>facilities to</w:t>
            </w:r>
            <w:r w:rsidRPr="00E437BA">
              <w:t xml:space="preserve"> run your office remotely if you can’t use your usual office; consider if staff need to be set up to work remotely from home or an alternative</w:t>
            </w:r>
            <w:r w:rsidRPr="00E437BA">
              <w:rPr>
                <w:spacing w:val="-11"/>
              </w:rPr>
              <w:t xml:space="preserve"> </w:t>
            </w:r>
            <w:r w:rsidRPr="00E437BA">
              <w:t>address. Review your lone working policy so you can support staff working alone in adverse weather conditions.  Make sure you know where everyone</w:t>
            </w:r>
            <w:r w:rsidRPr="00E437BA">
              <w:rPr>
                <w:spacing w:val="-19"/>
              </w:rPr>
              <w:t xml:space="preserve"> </w:t>
            </w:r>
            <w:r w:rsidRPr="00E437BA">
              <w:t>is.</w:t>
            </w:r>
          </w:p>
          <w:p w14:paraId="271E105B" w14:textId="77777777" w:rsidR="00222429" w:rsidRPr="00E437BA" w:rsidRDefault="00222429" w:rsidP="00222429">
            <w:pPr>
              <w:pStyle w:val="ListParagraph"/>
            </w:pPr>
          </w:p>
          <w:p w14:paraId="52423E22" w14:textId="77777777" w:rsidR="00222429" w:rsidRDefault="00222429" w:rsidP="00222429">
            <w:pPr>
              <w:pStyle w:val="BodyText"/>
            </w:pPr>
          </w:p>
        </w:tc>
        <w:tc>
          <w:tcPr>
            <w:tcW w:w="1448" w:type="dxa"/>
          </w:tcPr>
          <w:p w14:paraId="52567558" w14:textId="77777777" w:rsidR="00222429" w:rsidRDefault="00222429" w:rsidP="00222429">
            <w:pPr>
              <w:pStyle w:val="BodyText"/>
            </w:pPr>
          </w:p>
        </w:tc>
      </w:tr>
      <w:tr w:rsidR="00222429" w14:paraId="7ACD47EB" w14:textId="77777777" w:rsidTr="00222429">
        <w:tc>
          <w:tcPr>
            <w:tcW w:w="7513" w:type="dxa"/>
          </w:tcPr>
          <w:p w14:paraId="39A6D07B" w14:textId="77777777" w:rsidR="00222429" w:rsidRPr="00E437BA" w:rsidRDefault="00222429" w:rsidP="00222429">
            <w:pPr>
              <w:pStyle w:val="ListParagraph"/>
              <w:numPr>
                <w:ilvl w:val="0"/>
                <w:numId w:val="1"/>
              </w:numPr>
              <w:jc w:val="left"/>
            </w:pPr>
            <w:r w:rsidRPr="00E437BA">
              <w:lastRenderedPageBreak/>
              <w:t xml:space="preserve">Plan for using alternative transport in poor weather, for example, four-wheel </w:t>
            </w:r>
            <w:r>
              <w:t xml:space="preserve">drive </w:t>
            </w:r>
            <w:r w:rsidRPr="00E437BA">
              <w:t xml:space="preserve">vehicles that could help your staff reach </w:t>
            </w:r>
            <w:r>
              <w:t>people</w:t>
            </w:r>
            <w:r w:rsidRPr="00E437BA">
              <w:t xml:space="preserve"> living in remote areas. Make sure your drivers are competent and experienced enough to drive in adverse</w:t>
            </w:r>
            <w:r w:rsidRPr="00E437BA">
              <w:rPr>
                <w:spacing w:val="-7"/>
              </w:rPr>
              <w:t xml:space="preserve"> </w:t>
            </w:r>
            <w:r w:rsidRPr="00E437BA">
              <w:t>conditions.</w:t>
            </w:r>
          </w:p>
          <w:p w14:paraId="5ED2F4DA" w14:textId="77777777" w:rsidR="00222429" w:rsidRDefault="00222429" w:rsidP="00222429">
            <w:pPr>
              <w:pStyle w:val="BodyText"/>
            </w:pPr>
          </w:p>
        </w:tc>
        <w:tc>
          <w:tcPr>
            <w:tcW w:w="1448" w:type="dxa"/>
          </w:tcPr>
          <w:p w14:paraId="5E082DAE" w14:textId="77777777" w:rsidR="00222429" w:rsidRDefault="00222429" w:rsidP="00222429">
            <w:pPr>
              <w:pStyle w:val="BodyText"/>
            </w:pPr>
          </w:p>
        </w:tc>
      </w:tr>
      <w:tr w:rsidR="00222429" w14:paraId="0D352C6E" w14:textId="77777777" w:rsidTr="00222429">
        <w:tc>
          <w:tcPr>
            <w:tcW w:w="7513" w:type="dxa"/>
          </w:tcPr>
          <w:p w14:paraId="31E32A74" w14:textId="77777777" w:rsidR="00222429" w:rsidRPr="00E437BA" w:rsidRDefault="00222429" w:rsidP="00222429">
            <w:pPr>
              <w:pStyle w:val="ListParagraph"/>
              <w:numPr>
                <w:ilvl w:val="0"/>
                <w:numId w:val="1"/>
              </w:numPr>
              <w:jc w:val="left"/>
            </w:pPr>
            <w:r w:rsidRPr="00E437BA">
              <w:t xml:space="preserve">Ensure </w:t>
            </w:r>
            <w:proofErr w:type="spellStart"/>
            <w:r w:rsidRPr="00E437BA">
              <w:t>careworkers</w:t>
            </w:r>
            <w:proofErr w:type="spellEnd"/>
            <w:r w:rsidRPr="00E437BA">
              <w:t>’ vehicles are properly maintained so that they are safe in poor</w:t>
            </w:r>
            <w:r w:rsidRPr="00E437BA">
              <w:rPr>
                <w:spacing w:val="-9"/>
              </w:rPr>
              <w:t xml:space="preserve"> </w:t>
            </w:r>
            <w:r w:rsidRPr="00E437BA">
              <w:t>weather.</w:t>
            </w:r>
          </w:p>
          <w:p w14:paraId="174B7D6D" w14:textId="77777777" w:rsidR="00222429" w:rsidRDefault="00222429" w:rsidP="00222429">
            <w:pPr>
              <w:pStyle w:val="BodyText"/>
            </w:pPr>
          </w:p>
        </w:tc>
        <w:tc>
          <w:tcPr>
            <w:tcW w:w="1448" w:type="dxa"/>
          </w:tcPr>
          <w:p w14:paraId="461776CB" w14:textId="77777777" w:rsidR="00222429" w:rsidRDefault="00222429" w:rsidP="00222429">
            <w:pPr>
              <w:pStyle w:val="BodyText"/>
            </w:pPr>
          </w:p>
        </w:tc>
      </w:tr>
      <w:tr w:rsidR="00222429" w14:paraId="25EAFBB4" w14:textId="77777777" w:rsidTr="00222429">
        <w:tc>
          <w:tcPr>
            <w:tcW w:w="7513" w:type="dxa"/>
          </w:tcPr>
          <w:p w14:paraId="2ABC1D58" w14:textId="77777777" w:rsidR="00222429" w:rsidRPr="00E437BA" w:rsidRDefault="00222429" w:rsidP="00222429">
            <w:pPr>
              <w:pStyle w:val="ListParagraph"/>
              <w:numPr>
                <w:ilvl w:val="0"/>
                <w:numId w:val="1"/>
              </w:numPr>
              <w:jc w:val="left"/>
            </w:pPr>
            <w:r w:rsidRPr="00E437BA">
              <w:t>Be aware of road closures and delays in general and check your insurance policy to make sure you have suitable</w:t>
            </w:r>
            <w:r w:rsidRPr="00E437BA">
              <w:rPr>
                <w:spacing w:val="-9"/>
              </w:rPr>
              <w:t xml:space="preserve"> </w:t>
            </w:r>
            <w:r w:rsidRPr="00E437BA">
              <w:t>cover.</w:t>
            </w:r>
          </w:p>
          <w:p w14:paraId="0DBE91D6" w14:textId="77777777" w:rsidR="00222429" w:rsidRPr="00E437BA" w:rsidRDefault="00222429" w:rsidP="00222429">
            <w:pPr>
              <w:pStyle w:val="ListParagraph"/>
            </w:pPr>
          </w:p>
          <w:p w14:paraId="3F320ABF" w14:textId="77777777" w:rsidR="00222429" w:rsidRDefault="00222429" w:rsidP="00222429">
            <w:pPr>
              <w:pStyle w:val="BodyText"/>
            </w:pPr>
          </w:p>
        </w:tc>
        <w:tc>
          <w:tcPr>
            <w:tcW w:w="1448" w:type="dxa"/>
          </w:tcPr>
          <w:p w14:paraId="7DD31574" w14:textId="77777777" w:rsidR="00222429" w:rsidRDefault="00222429" w:rsidP="00222429">
            <w:pPr>
              <w:pStyle w:val="BodyText"/>
            </w:pPr>
          </w:p>
        </w:tc>
      </w:tr>
      <w:tr w:rsidR="00222429" w14:paraId="59C0F21B" w14:textId="77777777" w:rsidTr="00222429">
        <w:tc>
          <w:tcPr>
            <w:tcW w:w="7513" w:type="dxa"/>
          </w:tcPr>
          <w:p w14:paraId="405543BC" w14:textId="77777777" w:rsidR="00222429" w:rsidRPr="00E437BA" w:rsidRDefault="00222429" w:rsidP="00222429">
            <w:pPr>
              <w:pStyle w:val="ListParagraph"/>
              <w:numPr>
                <w:ilvl w:val="0"/>
                <w:numId w:val="1"/>
              </w:numPr>
              <w:jc w:val="left"/>
            </w:pPr>
            <w:r w:rsidRPr="00E437BA">
              <w:t xml:space="preserve">Equip your vehicles with shovels, snow </w:t>
            </w:r>
            <w:proofErr w:type="spellStart"/>
            <w:r w:rsidRPr="00E437BA">
              <w:t>tyres</w:t>
            </w:r>
            <w:proofErr w:type="spellEnd"/>
            <w:r w:rsidRPr="00E437BA">
              <w:t xml:space="preserve"> or chains, if necessary. Consider if your staff can walk to </w:t>
            </w:r>
            <w:r>
              <w:t xml:space="preserve">people receiving </w:t>
            </w:r>
            <w:proofErr w:type="gramStart"/>
            <w:r>
              <w:t>care</w:t>
            </w:r>
            <w:r w:rsidRPr="00E437BA">
              <w:t>, or</w:t>
            </w:r>
            <w:proofErr w:type="gramEnd"/>
            <w:r w:rsidRPr="00E437BA">
              <w:t xml:space="preserve"> use alternative</w:t>
            </w:r>
            <w:r w:rsidRPr="00E437BA">
              <w:rPr>
                <w:spacing w:val="-19"/>
              </w:rPr>
              <w:t xml:space="preserve"> </w:t>
            </w:r>
            <w:r w:rsidRPr="00E437BA">
              <w:t>transport.</w:t>
            </w:r>
          </w:p>
          <w:p w14:paraId="2214678E" w14:textId="77777777" w:rsidR="00222429" w:rsidRPr="00E437BA" w:rsidRDefault="00222429" w:rsidP="00222429">
            <w:pPr>
              <w:pStyle w:val="ListParagraph"/>
            </w:pPr>
          </w:p>
          <w:p w14:paraId="636ED3FD" w14:textId="77777777" w:rsidR="00222429" w:rsidRDefault="00222429" w:rsidP="00222429">
            <w:pPr>
              <w:pStyle w:val="BodyText"/>
            </w:pPr>
          </w:p>
        </w:tc>
        <w:tc>
          <w:tcPr>
            <w:tcW w:w="1448" w:type="dxa"/>
          </w:tcPr>
          <w:p w14:paraId="2DC78187" w14:textId="77777777" w:rsidR="00222429" w:rsidRDefault="00222429" w:rsidP="00222429">
            <w:pPr>
              <w:pStyle w:val="BodyText"/>
            </w:pPr>
          </w:p>
        </w:tc>
      </w:tr>
      <w:tr w:rsidR="00222429" w14:paraId="794E3C62" w14:textId="77777777" w:rsidTr="00222429">
        <w:tc>
          <w:tcPr>
            <w:tcW w:w="7513" w:type="dxa"/>
          </w:tcPr>
          <w:p w14:paraId="2CED0328" w14:textId="77777777" w:rsidR="00222429" w:rsidRPr="00E437BA" w:rsidRDefault="00222429" w:rsidP="00222429">
            <w:pPr>
              <w:pStyle w:val="ListParagraph"/>
              <w:numPr>
                <w:ilvl w:val="0"/>
                <w:numId w:val="1"/>
              </w:numPr>
              <w:jc w:val="left"/>
            </w:pPr>
            <w:r w:rsidRPr="00E437BA">
              <w:t xml:space="preserve">Ensure that your staff can communicate with your operations </w:t>
            </w:r>
            <w:proofErr w:type="spellStart"/>
            <w:r w:rsidRPr="00E437BA">
              <w:t>centre</w:t>
            </w:r>
            <w:proofErr w:type="spellEnd"/>
            <w:r w:rsidRPr="00E437BA">
              <w:t>. Have a stock of portable mobile phone battery banks to charge mobile phones in an</w:t>
            </w:r>
            <w:r w:rsidRPr="00E437BA">
              <w:rPr>
                <w:spacing w:val="-6"/>
              </w:rPr>
              <w:t xml:space="preserve"> </w:t>
            </w:r>
            <w:r w:rsidRPr="00E437BA">
              <w:t>emergency. Make sure your staff know who to contact if they run into difficulty and distribute an emergency phone</w:t>
            </w:r>
            <w:r w:rsidRPr="00E437BA">
              <w:rPr>
                <w:spacing w:val="-10"/>
              </w:rPr>
              <w:t xml:space="preserve"> </w:t>
            </w:r>
            <w:r w:rsidRPr="00E437BA">
              <w:t>list.</w:t>
            </w:r>
          </w:p>
          <w:p w14:paraId="6D578EFD" w14:textId="77777777" w:rsidR="00222429" w:rsidRDefault="00222429" w:rsidP="00222429">
            <w:pPr>
              <w:pStyle w:val="BodyText"/>
            </w:pPr>
          </w:p>
        </w:tc>
        <w:tc>
          <w:tcPr>
            <w:tcW w:w="1448" w:type="dxa"/>
          </w:tcPr>
          <w:p w14:paraId="5315759F" w14:textId="77777777" w:rsidR="00222429" w:rsidRDefault="00222429" w:rsidP="00222429">
            <w:pPr>
              <w:pStyle w:val="BodyText"/>
            </w:pPr>
          </w:p>
        </w:tc>
      </w:tr>
      <w:tr w:rsidR="00222429" w14:paraId="4E4FF01A" w14:textId="77777777" w:rsidTr="00222429">
        <w:tc>
          <w:tcPr>
            <w:tcW w:w="7513" w:type="dxa"/>
          </w:tcPr>
          <w:p w14:paraId="3BA25D90" w14:textId="77777777" w:rsidR="00222429" w:rsidRPr="00E437BA" w:rsidRDefault="00222429" w:rsidP="00222429">
            <w:pPr>
              <w:pStyle w:val="ListParagraph"/>
              <w:numPr>
                <w:ilvl w:val="0"/>
                <w:numId w:val="1"/>
              </w:numPr>
              <w:jc w:val="left"/>
            </w:pPr>
            <w:r w:rsidRPr="00E437BA">
              <w:t xml:space="preserve">Risk </w:t>
            </w:r>
            <w:proofErr w:type="gramStart"/>
            <w:r w:rsidRPr="00E437BA">
              <w:t>assess</w:t>
            </w:r>
            <w:proofErr w:type="gramEnd"/>
            <w:r w:rsidRPr="00E437BA">
              <w:t xml:space="preserve"> the places your workers need to access and check they have suitable protective clothing and footwear to visit </w:t>
            </w:r>
            <w:r>
              <w:t>people</w:t>
            </w:r>
            <w:r w:rsidRPr="00E437BA">
              <w:rPr>
                <w:spacing w:val="-14"/>
              </w:rPr>
              <w:t xml:space="preserve"> </w:t>
            </w:r>
            <w:r w:rsidRPr="00E437BA">
              <w:t>safely.</w:t>
            </w:r>
          </w:p>
          <w:p w14:paraId="5620F1D2" w14:textId="77777777" w:rsidR="00222429" w:rsidRDefault="00222429" w:rsidP="00222429">
            <w:pPr>
              <w:pStyle w:val="BodyText"/>
            </w:pPr>
          </w:p>
        </w:tc>
        <w:tc>
          <w:tcPr>
            <w:tcW w:w="1448" w:type="dxa"/>
          </w:tcPr>
          <w:p w14:paraId="48E9D9A8" w14:textId="77777777" w:rsidR="00222429" w:rsidRDefault="00222429" w:rsidP="00222429">
            <w:pPr>
              <w:pStyle w:val="BodyText"/>
            </w:pPr>
          </w:p>
        </w:tc>
      </w:tr>
      <w:tr w:rsidR="00222429" w14:paraId="02038E56" w14:textId="77777777" w:rsidTr="00222429">
        <w:tc>
          <w:tcPr>
            <w:tcW w:w="7513" w:type="dxa"/>
          </w:tcPr>
          <w:p w14:paraId="5C5C8296" w14:textId="77777777" w:rsidR="00222429" w:rsidRPr="00E437BA" w:rsidRDefault="00222429" w:rsidP="00222429">
            <w:pPr>
              <w:pStyle w:val="ListParagraph"/>
              <w:numPr>
                <w:ilvl w:val="0"/>
                <w:numId w:val="1"/>
              </w:numPr>
              <w:jc w:val="left"/>
            </w:pPr>
            <w:r w:rsidRPr="00E437BA">
              <w:t xml:space="preserve">Make sure </w:t>
            </w:r>
            <w:r>
              <w:t xml:space="preserve">people receiving homecare </w:t>
            </w:r>
            <w:r w:rsidRPr="00E437BA">
              <w:t>service</w:t>
            </w:r>
            <w:r>
              <w:t>s</w:t>
            </w:r>
            <w:r w:rsidRPr="00E437BA">
              <w:t xml:space="preserve"> have access to contact numbers for utility companies if their heating breaks down or they have burst water</w:t>
            </w:r>
            <w:r w:rsidRPr="00E437BA">
              <w:rPr>
                <w:spacing w:val="-4"/>
              </w:rPr>
              <w:t xml:space="preserve"> </w:t>
            </w:r>
            <w:r w:rsidRPr="00E437BA">
              <w:t>pipes.</w:t>
            </w:r>
          </w:p>
          <w:p w14:paraId="640AA555" w14:textId="77777777" w:rsidR="00222429" w:rsidRPr="00E437BA" w:rsidRDefault="00222429" w:rsidP="00222429">
            <w:pPr>
              <w:pStyle w:val="BodyText"/>
            </w:pPr>
          </w:p>
          <w:p w14:paraId="7C808070" w14:textId="77777777" w:rsidR="00222429" w:rsidRDefault="00222429" w:rsidP="00222429">
            <w:pPr>
              <w:pStyle w:val="BodyText"/>
            </w:pPr>
          </w:p>
        </w:tc>
        <w:tc>
          <w:tcPr>
            <w:tcW w:w="1448" w:type="dxa"/>
          </w:tcPr>
          <w:p w14:paraId="68CC55C6" w14:textId="77777777" w:rsidR="00222429" w:rsidRDefault="00222429" w:rsidP="00222429">
            <w:pPr>
              <w:pStyle w:val="BodyText"/>
            </w:pPr>
          </w:p>
        </w:tc>
      </w:tr>
      <w:tr w:rsidR="00222429" w14:paraId="05C323A9" w14:textId="77777777" w:rsidTr="00222429">
        <w:tc>
          <w:tcPr>
            <w:tcW w:w="7513" w:type="dxa"/>
          </w:tcPr>
          <w:p w14:paraId="791E0BE3" w14:textId="77777777" w:rsidR="00222429" w:rsidRPr="00E437BA" w:rsidRDefault="00222429" w:rsidP="00222429">
            <w:pPr>
              <w:pStyle w:val="ListParagraph"/>
              <w:numPr>
                <w:ilvl w:val="0"/>
                <w:numId w:val="1"/>
              </w:numPr>
              <w:jc w:val="left"/>
            </w:pPr>
            <w:r w:rsidRPr="00E437BA">
              <w:t>When things return to normal, review your experiences, and those of your staff, so you can learn from what</w:t>
            </w:r>
            <w:r w:rsidRPr="0051365E">
              <w:rPr>
                <w:spacing w:val="-11"/>
              </w:rPr>
              <w:t xml:space="preserve"> </w:t>
            </w:r>
            <w:r w:rsidRPr="00E437BA">
              <w:t>happened</w:t>
            </w:r>
            <w:r>
              <w:t xml:space="preserve"> and incorporate that in next year’s plan</w:t>
            </w:r>
            <w:r w:rsidRPr="00E437BA">
              <w:t>.</w:t>
            </w:r>
            <w:r>
              <w:t xml:space="preserve"> </w:t>
            </w:r>
            <w:r w:rsidRPr="00E437BA">
              <w:t>Don’t forget to thank your staff for their hard work and effort.</w:t>
            </w:r>
            <w:r w:rsidRPr="00E437BA">
              <w:rPr>
                <w:rStyle w:val="EndnoteReference"/>
                <w:rFonts w:cs="Arial"/>
              </w:rPr>
              <w:endnoteReference w:id="1"/>
            </w:r>
          </w:p>
          <w:p w14:paraId="649514D2" w14:textId="77777777" w:rsidR="00222429" w:rsidRDefault="00222429" w:rsidP="00222429">
            <w:pPr>
              <w:pStyle w:val="BodyText"/>
            </w:pPr>
          </w:p>
        </w:tc>
        <w:tc>
          <w:tcPr>
            <w:tcW w:w="1448" w:type="dxa"/>
          </w:tcPr>
          <w:p w14:paraId="464CA783" w14:textId="77777777" w:rsidR="00222429" w:rsidRDefault="00222429" w:rsidP="00222429">
            <w:pPr>
              <w:pStyle w:val="BodyText"/>
            </w:pPr>
          </w:p>
        </w:tc>
      </w:tr>
    </w:tbl>
    <w:p w14:paraId="7DAAB092" w14:textId="77777777" w:rsidR="00222429" w:rsidRPr="00E437BA" w:rsidRDefault="00222429" w:rsidP="00222429">
      <w:pPr>
        <w:pStyle w:val="BodyText"/>
      </w:pPr>
    </w:p>
    <w:p w14:paraId="1844D345" w14:textId="77777777" w:rsidR="00222429" w:rsidRPr="00E437BA" w:rsidRDefault="00222429" w:rsidP="00222429">
      <w:pPr>
        <w:pStyle w:val="ListParagraph"/>
      </w:pPr>
    </w:p>
    <w:p w14:paraId="2369B13F" w14:textId="0EE97D28" w:rsidR="00222429" w:rsidRDefault="00CF0B29" w:rsidP="00222429">
      <w:pPr>
        <w:pStyle w:val="BodyText"/>
        <w:rPr>
          <w:lang w:val="en-GB"/>
        </w:rPr>
      </w:pPr>
      <w:r>
        <w:rPr>
          <w:lang w:val="en-GB"/>
        </w:rPr>
        <w:t xml:space="preserve">The Homecare Association’s winter planning guidance for members is available at </w:t>
      </w:r>
      <w:hyperlink r:id="rId7" w:history="1">
        <w:r>
          <w:rPr>
            <w:rStyle w:val="Hyperlink"/>
          </w:rPr>
          <w:t>Winter planning guidance and checklist for homecare providers</w:t>
        </w:r>
      </w:hyperlink>
      <w:r>
        <w:t>.</w:t>
      </w:r>
    </w:p>
    <w:p w14:paraId="28C173B0" w14:textId="77777777" w:rsidR="00222429" w:rsidRPr="00E437BA" w:rsidRDefault="00222429" w:rsidP="00222429">
      <w:pPr>
        <w:pStyle w:val="BodyText"/>
        <w:rPr>
          <w:lang w:val="en-GB"/>
        </w:rPr>
      </w:pPr>
    </w:p>
    <w:p w14:paraId="207FEA73" w14:textId="77777777" w:rsidR="00222429" w:rsidRPr="00E437BA" w:rsidRDefault="00222429" w:rsidP="00222429">
      <w:pPr>
        <w:pStyle w:val="BodyText"/>
        <w:rPr>
          <w:lang w:val="en-GB"/>
        </w:rPr>
      </w:pPr>
    </w:p>
    <w:p w14:paraId="66520A80" w14:textId="77777777" w:rsidR="00222429" w:rsidRPr="00E437BA" w:rsidRDefault="00222429" w:rsidP="00222429">
      <w:pPr>
        <w:pStyle w:val="BodyText"/>
        <w:rPr>
          <w:lang w:val="en-GB"/>
        </w:rPr>
      </w:pPr>
    </w:p>
    <w:p w14:paraId="48DCDBA0" w14:textId="77777777" w:rsidR="003F7511" w:rsidRDefault="003F7511"/>
    <w:sectPr w:rsidR="003F7511">
      <w:footerReference w:type="default" r:id="rId8"/>
      <w:pgSz w:w="11910" w:h="16840"/>
      <w:pgMar w:top="1380" w:right="1320" w:bottom="1200" w:left="134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54E21" w14:textId="77777777" w:rsidR="00222429" w:rsidRDefault="00222429" w:rsidP="00222429">
      <w:r>
        <w:separator/>
      </w:r>
    </w:p>
  </w:endnote>
  <w:endnote w:type="continuationSeparator" w:id="0">
    <w:p w14:paraId="24E4412A" w14:textId="77777777" w:rsidR="00222429" w:rsidRDefault="00222429" w:rsidP="00222429">
      <w:r>
        <w:continuationSeparator/>
      </w:r>
    </w:p>
  </w:endnote>
  <w:endnote w:id="1">
    <w:p w14:paraId="10BB017F" w14:textId="77777777" w:rsidR="00222429" w:rsidRDefault="00222429" w:rsidP="00222429">
      <w:pPr>
        <w:pStyle w:val="EndnoteText"/>
        <w:rPr>
          <w:lang w:val="en-GB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GB"/>
        </w:rPr>
        <w:t xml:space="preserve">This checklist is based on an action plan originally produced by Homecare Association members Scott Care. </w:t>
      </w:r>
    </w:p>
    <w:p w14:paraId="71352CB1" w14:textId="77777777" w:rsidR="00222429" w:rsidRDefault="00222429" w:rsidP="00222429">
      <w:pPr>
        <w:pStyle w:val="EndnoteText"/>
        <w:rPr>
          <w:lang w:val="en-GB"/>
        </w:rPr>
      </w:pPr>
    </w:p>
    <w:p w14:paraId="20006E0D" w14:textId="77777777" w:rsidR="00222429" w:rsidRDefault="00222429" w:rsidP="00222429">
      <w:pPr>
        <w:pStyle w:val="EndnoteText"/>
        <w:rPr>
          <w:lang w:val="en-GB"/>
        </w:rPr>
      </w:pPr>
    </w:p>
    <w:p w14:paraId="4B8AA3FE" w14:textId="77777777" w:rsidR="00222429" w:rsidRDefault="00222429" w:rsidP="00222429">
      <w:pPr>
        <w:pStyle w:val="EndnoteText"/>
        <w:rPr>
          <w:lang w:val="en-GB"/>
        </w:rPr>
      </w:pPr>
    </w:p>
    <w:p w14:paraId="20C214C0" w14:textId="77777777" w:rsidR="00222429" w:rsidRPr="00FB5BB5" w:rsidRDefault="00222429" w:rsidP="00222429">
      <w:pPr>
        <w:pStyle w:val="EndnoteText"/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5E0F" w14:textId="77777777" w:rsidR="00AE5073" w:rsidRDefault="009B0E9B" w:rsidP="002B7BB1">
    <w:pPr>
      <w:pStyle w:val="BodyText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D8C02C" wp14:editId="4651465B">
              <wp:simplePos x="0" y="0"/>
              <wp:positionH relativeFrom="page">
                <wp:posOffset>6480175</wp:posOffset>
              </wp:positionH>
              <wp:positionV relativeFrom="page">
                <wp:posOffset>9916160</wp:posOffset>
              </wp:positionV>
              <wp:extent cx="194310" cy="165735"/>
              <wp:effectExtent l="3175" t="635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6FC0C" w14:textId="77777777" w:rsidR="00AE5073" w:rsidRDefault="009B0E9B" w:rsidP="002B7BB1">
                          <w:pPr>
                            <w:pStyle w:val="BodyTex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8C0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25pt;margin-top:780.8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" filled="f" stroked="f">
              <v:textbox inset="0,0,0,0">
                <w:txbxContent>
                  <w:p w14:paraId="6D86FC0C" w14:textId="77777777" w:rsidR="00AE5073" w:rsidRDefault="009B0E9B" w:rsidP="002B7BB1">
                    <w:pPr>
                      <w:pStyle w:val="BodyTex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7434" w14:textId="77777777" w:rsidR="00222429" w:rsidRDefault="00222429" w:rsidP="00222429">
      <w:r>
        <w:separator/>
      </w:r>
    </w:p>
  </w:footnote>
  <w:footnote w:type="continuationSeparator" w:id="0">
    <w:p w14:paraId="4B3D45C7" w14:textId="77777777" w:rsidR="00222429" w:rsidRDefault="00222429" w:rsidP="00222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3421"/>
    <w:multiLevelType w:val="hybridMultilevel"/>
    <w:tmpl w:val="40A42B06"/>
    <w:lvl w:ilvl="0" w:tplc="F7EA5E3A">
      <w:start w:val="1"/>
      <w:numFmt w:val="decimal"/>
      <w:lvlText w:val="%1."/>
      <w:lvlJc w:val="left"/>
      <w:pPr>
        <w:ind w:left="820" w:hanging="360"/>
        <w:jc w:val="right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1" w:tplc="6A7444BC">
      <w:start w:val="1"/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64DEF7B8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E73A3C6C">
      <w:start w:val="1"/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5992B2D8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A9B286B2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F8486644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CE90E5DE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25BE64CC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 w16cid:durableId="92302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29"/>
    <w:rsid w:val="00144CBA"/>
    <w:rsid w:val="00222429"/>
    <w:rsid w:val="003F7511"/>
    <w:rsid w:val="005E2B61"/>
    <w:rsid w:val="00727335"/>
    <w:rsid w:val="009B0E9B"/>
    <w:rsid w:val="00B57C3E"/>
    <w:rsid w:val="00CF0B29"/>
    <w:rsid w:val="00FC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9E9B7"/>
  <w15:chartTrackingRefBased/>
  <w15:docId w15:val="{AE4A190F-D888-447C-8C3A-E15C9373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2429"/>
    <w:pPr>
      <w:widowControl w:val="0"/>
      <w:spacing w:after="0" w:line="240" w:lineRule="auto"/>
    </w:pPr>
    <w:rPr>
      <w:rFonts w:ascii="Proxima Nova" w:eastAsia="Verdana" w:hAnsi="Proxima Nova" w:cs="Verdan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727335"/>
    <w:pPr>
      <w:keepNext/>
      <w:keepLines/>
      <w:spacing w:before="240"/>
      <w:outlineLvl w:val="0"/>
    </w:pPr>
    <w:rPr>
      <w:rFonts w:ascii="Georgia" w:eastAsiaTheme="majorEastAsia" w:hAnsi="Georg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335"/>
    <w:pPr>
      <w:keepNext/>
      <w:keepLines/>
      <w:spacing w:before="40"/>
      <w:outlineLvl w:val="1"/>
    </w:pPr>
    <w:rPr>
      <w:rFonts w:ascii="Georgia" w:eastAsiaTheme="majorEastAsia" w:hAnsi="Georg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335"/>
    <w:pPr>
      <w:keepNext/>
      <w:keepLines/>
      <w:spacing w:before="40"/>
      <w:outlineLvl w:val="2"/>
    </w:pPr>
    <w:rPr>
      <w:rFonts w:ascii="Georgia" w:eastAsiaTheme="majorEastAsia" w:hAnsi="Georgia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C3E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C3E"/>
    <w:pPr>
      <w:keepNext/>
      <w:keepLines/>
      <w:spacing w:before="40"/>
      <w:outlineLvl w:val="4"/>
    </w:pPr>
    <w:rPr>
      <w:rFonts w:ascii="Georgia" w:eastAsiaTheme="majorEastAsia" w:hAnsi="Georgia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27335"/>
    <w:rPr>
      <w:rFonts w:ascii="Georgia" w:eastAsiaTheme="majorEastAsia" w:hAnsi="Georgia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27335"/>
    <w:rPr>
      <w:rFonts w:ascii="Georgia" w:eastAsiaTheme="majorEastAsia" w:hAnsi="Georgia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335"/>
    <w:rPr>
      <w:rFonts w:ascii="Georgia" w:eastAsiaTheme="majorEastAsia" w:hAnsi="Georgia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C3E"/>
    <w:rPr>
      <w:rFonts w:ascii="Georgia" w:eastAsiaTheme="majorEastAsia" w:hAnsi="Georg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C3E"/>
    <w:rPr>
      <w:rFonts w:ascii="Georgia" w:eastAsiaTheme="majorEastAsia" w:hAnsi="Georgia" w:cstheme="majorBidi"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B57C3E"/>
    <w:pPr>
      <w:contextualSpacing/>
    </w:pPr>
    <w:rPr>
      <w:rFonts w:ascii="Georgia" w:eastAsiaTheme="majorEastAsia" w:hAnsi="Georg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C3E"/>
    <w:rPr>
      <w:rFonts w:ascii="Georgia" w:eastAsiaTheme="majorEastAsia" w:hAnsi="Georg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C3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7C3E"/>
    <w:rPr>
      <w:rFonts w:ascii="Arial" w:eastAsiaTheme="minorEastAsia" w:hAnsi="Arial"/>
      <w:color w:val="5A5A5A" w:themeColor="text1" w:themeTint="A5"/>
      <w:spacing w:val="15"/>
    </w:rPr>
  </w:style>
  <w:style w:type="paragraph" w:styleId="BodyText">
    <w:name w:val="Body Text"/>
    <w:basedOn w:val="Normal"/>
    <w:link w:val="BodyTextChar"/>
    <w:uiPriority w:val="1"/>
    <w:qFormat/>
    <w:rsid w:val="00222429"/>
  </w:style>
  <w:style w:type="character" w:customStyle="1" w:styleId="BodyTextChar">
    <w:name w:val="Body Text Char"/>
    <w:basedOn w:val="DefaultParagraphFont"/>
    <w:link w:val="BodyText"/>
    <w:uiPriority w:val="1"/>
    <w:rsid w:val="00222429"/>
    <w:rPr>
      <w:rFonts w:ascii="Proxima Nova" w:eastAsia="Verdana" w:hAnsi="Proxima Nova" w:cs="Verdan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22429"/>
    <w:pPr>
      <w:ind w:left="480" w:hanging="360"/>
    </w:pPr>
  </w:style>
  <w:style w:type="paragraph" w:styleId="EndnoteText">
    <w:name w:val="endnote text"/>
    <w:basedOn w:val="Normal"/>
    <w:link w:val="EndnoteTextChar"/>
    <w:uiPriority w:val="99"/>
    <w:unhideWhenUsed/>
    <w:rsid w:val="0022242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22429"/>
    <w:rPr>
      <w:rFonts w:ascii="Proxima Nova" w:eastAsia="Verdana" w:hAnsi="Proxima Nova" w:cs="Verdana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2429"/>
    <w:rPr>
      <w:vertAlign w:val="superscript"/>
    </w:rPr>
  </w:style>
  <w:style w:type="table" w:styleId="TableGrid">
    <w:name w:val="Table Grid"/>
    <w:basedOn w:val="TableNormal"/>
    <w:uiPriority w:val="39"/>
    <w:rsid w:val="00222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F0B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omecareassociation.org.uk/resource/winter-planning-guidanc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Broughton</dc:creator>
  <cp:keywords/>
  <dc:description/>
  <cp:lastModifiedBy>Carole Broughton</cp:lastModifiedBy>
  <cp:revision>3</cp:revision>
  <dcterms:created xsi:type="dcterms:W3CDTF">2022-10-11T06:12:00Z</dcterms:created>
  <dcterms:modified xsi:type="dcterms:W3CDTF">2022-10-11T07:09:00Z</dcterms:modified>
</cp:coreProperties>
</file>